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15" w:rsidRDefault="002A2815" w:rsidP="002A2815">
      <w:r w:rsidRPr="002A2815">
        <w:rPr>
          <w:b/>
          <w:bCs/>
          <w:shd w:val="clear" w:color="auto" w:fill="D9D9D9" w:themeFill="background1" w:themeFillShade="D9"/>
        </w:rPr>
        <w:t>Mentions grisées</w:t>
      </w:r>
      <w:r>
        <w:t xml:space="preserve"> : à compléter par l’entreprise</w:t>
      </w:r>
    </w:p>
    <w:p w:rsidR="002A2815" w:rsidRDefault="002A2815" w:rsidP="002A2815">
      <w:r w:rsidRPr="002A2815">
        <w:rPr>
          <w:b/>
          <w:bCs/>
          <w:i/>
          <w:iCs/>
          <w:color w:val="4472C4" w:themeColor="accent1"/>
        </w:rPr>
        <w:t>Mentions en italique</w:t>
      </w:r>
      <w:r>
        <w:t xml:space="preserve"> : éléments pédagogiques</w:t>
      </w:r>
    </w:p>
    <w:p w:rsidR="002A2815" w:rsidRDefault="002A2815" w:rsidP="002A2815">
      <w:pPr>
        <w:jc w:val="center"/>
        <w:rPr>
          <w:b/>
          <w:bCs/>
          <w:sz w:val="24"/>
          <w:szCs w:val="24"/>
        </w:rPr>
      </w:pPr>
      <w:r w:rsidRPr="002A2815">
        <w:rPr>
          <w:b/>
          <w:bCs/>
          <w:sz w:val="24"/>
          <w:szCs w:val="24"/>
          <w:highlight w:val="lightGray"/>
        </w:rPr>
        <w:t>Accord d’intéressement</w:t>
      </w:r>
    </w:p>
    <w:p w:rsidR="002A2815" w:rsidRDefault="002A2815" w:rsidP="002A2815">
      <w:pPr>
        <w:jc w:val="center"/>
        <w:rPr>
          <w:b/>
          <w:bCs/>
          <w:sz w:val="24"/>
          <w:szCs w:val="24"/>
        </w:rPr>
      </w:pPr>
      <w:r w:rsidRPr="002A2815">
        <w:rPr>
          <w:b/>
          <w:bCs/>
          <w:sz w:val="24"/>
          <w:szCs w:val="24"/>
          <w:highlight w:val="lightGray"/>
        </w:rPr>
        <w:t>Nom de l’entreprise ou de l’établissement</w:t>
      </w:r>
    </w:p>
    <w:p w:rsidR="002A2815" w:rsidRDefault="002A2815" w:rsidP="002A2815">
      <w:pPr>
        <w:jc w:val="center"/>
        <w:rPr>
          <w:b/>
          <w:bCs/>
          <w:sz w:val="24"/>
          <w:szCs w:val="24"/>
        </w:rPr>
      </w:pPr>
      <w:r w:rsidRPr="002A2815">
        <w:rPr>
          <w:b/>
          <w:bCs/>
          <w:sz w:val="24"/>
          <w:szCs w:val="24"/>
          <w:highlight w:val="lightGray"/>
        </w:rPr>
        <w:t>Exercices retenus (exemple : 2019 – 2020)</w:t>
      </w:r>
    </w:p>
    <w:p w:rsidR="002A2815" w:rsidRDefault="002A2815" w:rsidP="002A2815">
      <w:r>
        <w:t>Entre les soussignés :</w:t>
      </w:r>
    </w:p>
    <w:p w:rsidR="00FE3E56" w:rsidRDefault="002A2815" w:rsidP="002A2815">
      <w:r w:rsidRPr="002A2815">
        <w:rPr>
          <w:highlight w:val="lightGray"/>
        </w:rPr>
        <w:t>Coordonnées de l’entreprise ou de l’établissement</w:t>
      </w:r>
    </w:p>
    <w:p w:rsidR="002A2815" w:rsidRDefault="002A2815" w:rsidP="002A2815">
      <w:r w:rsidRPr="002A2815">
        <w:rPr>
          <w:highlight w:val="lightGray"/>
        </w:rPr>
        <w:t>N° SIRET – Raison sociale - Effectifs</w:t>
      </w:r>
    </w:p>
    <w:p w:rsidR="002A2815" w:rsidRDefault="002A2815" w:rsidP="002A2815">
      <w:r w:rsidRPr="002A2815">
        <w:rPr>
          <w:highlight w:val="lightGray"/>
        </w:rPr>
        <w:t>Adresse – Téléphone</w:t>
      </w:r>
    </w:p>
    <w:p w:rsidR="002A2815" w:rsidRDefault="002A2815" w:rsidP="002A2815">
      <w:r w:rsidRPr="002A2815">
        <w:rPr>
          <w:highlight w:val="lightGray"/>
        </w:rPr>
        <w:t>Libellé de la convention collective de branche – IDDC</w:t>
      </w:r>
    </w:p>
    <w:p w:rsidR="002A2815" w:rsidRDefault="002A2815" w:rsidP="002A2815">
      <w:r>
        <w:t>Et</w:t>
      </w:r>
    </w:p>
    <w:p w:rsidR="002A2815" w:rsidRDefault="002A2815" w:rsidP="002A2815">
      <w:r w:rsidRPr="002A2815">
        <w:rPr>
          <w:highlight w:val="lightGray"/>
        </w:rPr>
        <w:t>Les organisations syndicales représentatives au sein de la société xxx</w:t>
      </w:r>
    </w:p>
    <w:p w:rsidR="002A2815" w:rsidRDefault="002A2815" w:rsidP="002A2815">
      <w:r w:rsidRPr="002A2815">
        <w:rPr>
          <w:highlight w:val="lightGray"/>
        </w:rPr>
        <w:t>- Nom de l’OS représentée par Madame/Monsieur xxx, délégué syndical</w:t>
      </w:r>
    </w:p>
    <w:p w:rsidR="002A2815" w:rsidRDefault="002A2815" w:rsidP="002A2815">
      <w:r w:rsidRPr="002A2815">
        <w:rPr>
          <w:highlight w:val="lightGray"/>
        </w:rPr>
        <w:t>- …</w:t>
      </w:r>
    </w:p>
    <w:p w:rsidR="002A2815" w:rsidRDefault="002A2815" w:rsidP="002A2815">
      <w:proofErr w:type="gramStart"/>
      <w:r>
        <w:t>Ou</w:t>
      </w:r>
      <w:proofErr w:type="gramEnd"/>
      <w:r>
        <w:t xml:space="preserve"> :</w:t>
      </w:r>
    </w:p>
    <w:p w:rsidR="002A2815" w:rsidRDefault="002A2815" w:rsidP="002A2815">
      <w:r w:rsidRPr="002A2815">
        <w:rPr>
          <w:highlight w:val="lightGray"/>
        </w:rPr>
        <w:t>- Le Comité social et économique</w:t>
      </w:r>
    </w:p>
    <w:p w:rsidR="002A2815" w:rsidRPr="002A2815" w:rsidRDefault="002A2815" w:rsidP="002A2815">
      <w:pPr>
        <w:rPr>
          <w:highlight w:val="lightGray"/>
        </w:rPr>
      </w:pPr>
      <w:r w:rsidRPr="002A2815">
        <w:rPr>
          <w:highlight w:val="lightGray"/>
        </w:rPr>
        <w:t>- L’ensemble des membres du personnel de l’entreprise statuant à la majorité des deux</w:t>
      </w:r>
    </w:p>
    <w:p w:rsidR="002A2815" w:rsidRDefault="002A2815" w:rsidP="002A2815">
      <w:r w:rsidRPr="002A2815">
        <w:rPr>
          <w:highlight w:val="lightGray"/>
        </w:rPr>
        <w:t>tiers</w:t>
      </w:r>
    </w:p>
    <w:p w:rsidR="002A2815" w:rsidRPr="002A2815" w:rsidRDefault="002A2815" w:rsidP="002A2815">
      <w:pPr>
        <w:jc w:val="center"/>
        <w:rPr>
          <w:b/>
          <w:bCs/>
        </w:rPr>
      </w:pPr>
      <w:r w:rsidRPr="002A2815">
        <w:rPr>
          <w:b/>
          <w:bCs/>
        </w:rPr>
        <w:t>Préambule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Le préambule doit indiquer les motifs de l'accord ainsi que les raisons du choix de modalités de calcul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de l'intéressement et des critères de répartition de ses produits.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Ce préambule doit permettre une plus grande transparence des conditions de conclusion des accords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et être un moyen de contrôle pour les salariés et leurs représentants du respect des intentions initiales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des parties.</w:t>
      </w:r>
    </w:p>
    <w:p w:rsidR="002A2815" w:rsidRPr="00FE3E56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Si les signataires de l'accord le souhaitent, ce préambule peut se décliner au fur et à mesure de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l'exposition de l'accord : un préambule général présente les motifs de l'accord (besoins, intentions...),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les raisons du choix des modalités de calcul et des critères de répartition étant exposées en tête des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paragraphes traitant des modalités de calcul et de répartition</w:t>
      </w:r>
      <w:r>
        <w:t>.</w:t>
      </w:r>
    </w:p>
    <w:p w:rsidR="002A2815" w:rsidRPr="009A13FF" w:rsidRDefault="002A2815" w:rsidP="009A13FF">
      <w:pPr>
        <w:jc w:val="center"/>
        <w:rPr>
          <w:b/>
          <w:bCs/>
        </w:rPr>
      </w:pPr>
      <w:r w:rsidRPr="009A13FF">
        <w:rPr>
          <w:b/>
          <w:bCs/>
        </w:rPr>
        <w:t>Article 1 : Période d’application</w:t>
      </w:r>
    </w:p>
    <w:p w:rsidR="002A2815" w:rsidRDefault="002A2815" w:rsidP="002A2815">
      <w:r w:rsidRPr="009A13FF">
        <w:rPr>
          <w:highlight w:val="lightGray"/>
        </w:rPr>
        <w:t>Le présent accord est conclu pour une durée de 3 ans, correspondant à trois exercices</w:t>
      </w:r>
      <w:r w:rsidR="009A13FF" w:rsidRPr="009A13FF">
        <w:rPr>
          <w:highlight w:val="lightGray"/>
        </w:rPr>
        <w:t xml:space="preserve"> </w:t>
      </w:r>
      <w:r w:rsidRPr="009A13FF">
        <w:rPr>
          <w:highlight w:val="lightGray"/>
        </w:rPr>
        <w:t xml:space="preserve">comptables de </w:t>
      </w:r>
      <w:bookmarkStart w:id="0" w:name="_GoBack"/>
      <w:bookmarkEnd w:id="0"/>
      <w:r w:rsidRPr="009A13FF">
        <w:rPr>
          <w:highlight w:val="lightGray"/>
        </w:rPr>
        <w:t>la société xxx, par exemple : du 1er janvier 2017 au 31 décembre 2019.</w:t>
      </w:r>
    </w:p>
    <w:p w:rsidR="002A2815" w:rsidRPr="00FE3E56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Indiquer si l’accord sera éventuellement renégocié pour une nouvelle période par accord entre les</w:t>
      </w:r>
      <w:r w:rsidR="00FE3E56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parties, à l’issue de sa période de validité</w:t>
      </w:r>
      <w:r>
        <w:t>.</w:t>
      </w:r>
    </w:p>
    <w:p w:rsidR="002A2815" w:rsidRDefault="002A2815" w:rsidP="002A2815">
      <w:r w:rsidRPr="009A13FF">
        <w:rPr>
          <w:color w:val="4472C4" w:themeColor="accent1"/>
        </w:rPr>
        <w:lastRenderedPageBreak/>
        <w:t>Indiquer si l’accord fera l’objet d’une tacite reconduction.</w:t>
      </w:r>
    </w:p>
    <w:p w:rsidR="002A2815" w:rsidRPr="009A13FF" w:rsidRDefault="002A2815" w:rsidP="009A13FF">
      <w:pPr>
        <w:jc w:val="center"/>
        <w:rPr>
          <w:b/>
          <w:bCs/>
        </w:rPr>
      </w:pPr>
      <w:r w:rsidRPr="009A13FF">
        <w:rPr>
          <w:b/>
          <w:bCs/>
        </w:rPr>
        <w:t>Article 2 : Salariés bénéficiaires</w:t>
      </w:r>
    </w:p>
    <w:p w:rsidR="002A2815" w:rsidRDefault="002A2815" w:rsidP="002A2815">
      <w:r>
        <w:t>Tous les collaborateurs ayant un contrat de travail à durée indéterminée ou déterminée en cours</w:t>
      </w:r>
      <w:r w:rsidR="00FE3E56">
        <w:t xml:space="preserve"> </w:t>
      </w:r>
      <w:r>
        <w:t>avec l’entreprise, quelle qu’en soit la nature, pourront bénéficier de l’intéressement. Toutefois,</w:t>
      </w:r>
      <w:r w:rsidR="00FE3E56">
        <w:t xml:space="preserve"> </w:t>
      </w:r>
      <w:r>
        <w:t>une condition d’ancienneté peut être requise.</w:t>
      </w:r>
    </w:p>
    <w:p w:rsidR="002A2815" w:rsidRPr="009A13FF" w:rsidRDefault="002A2815" w:rsidP="002A2815">
      <w:pPr>
        <w:rPr>
          <w:color w:val="4472C4" w:themeColor="accent1"/>
        </w:rPr>
      </w:pPr>
      <w:r w:rsidRPr="009A13FF">
        <w:rPr>
          <w:color w:val="4472C4" w:themeColor="accent1"/>
        </w:rPr>
        <w:t>Indiquer si une condition d’ancienneté est requise (elle ne peut excéder trois mois).</w:t>
      </w:r>
    </w:p>
    <w:p w:rsidR="002A2815" w:rsidRDefault="002A2815" w:rsidP="002A2815">
      <w:r>
        <w:t>Pour la détermination de l’ancienneté requise, sont prises en compte tous les contrats de travail</w:t>
      </w:r>
      <w:r w:rsidR="00FE3E56">
        <w:t xml:space="preserve"> </w:t>
      </w:r>
      <w:r>
        <w:t>exécutés au cours de la période de calcul et des 12 mois qui la précédent.</w:t>
      </w:r>
    </w:p>
    <w:p w:rsidR="002A2815" w:rsidRDefault="002A2815" w:rsidP="002A2815">
      <w:r>
        <w:t>L’ancienneté s’apprécie à la date de clôture de l’exercice concerné ou à la date de départ en cas</w:t>
      </w:r>
      <w:r w:rsidR="00FE3E56">
        <w:t xml:space="preserve"> </w:t>
      </w:r>
      <w:r>
        <w:t>de rupture de contrat en cours d’exercice.</w:t>
      </w:r>
    </w:p>
    <w:p w:rsidR="002A2815" w:rsidRPr="009A13FF" w:rsidRDefault="002A2815" w:rsidP="009A13FF">
      <w:pPr>
        <w:jc w:val="center"/>
        <w:rPr>
          <w:b/>
          <w:bCs/>
        </w:rPr>
      </w:pPr>
      <w:r w:rsidRPr="009A13FF">
        <w:rPr>
          <w:b/>
          <w:bCs/>
        </w:rPr>
        <w:t>Article 3 : Caractéristiques de l’intéressement</w:t>
      </w:r>
    </w:p>
    <w:p w:rsidR="002A2815" w:rsidRDefault="002A2815" w:rsidP="002A2815">
      <w:r>
        <w:t>Les sommes attribuées aux salariés en application du présent accord :</w:t>
      </w:r>
    </w:p>
    <w:p w:rsidR="002A2815" w:rsidRDefault="002A2815" w:rsidP="002A2815">
      <w:r>
        <w:t>- N’ont pas le caractère de rémunération au sens de l’article L. 242-1 du code de la sécurité</w:t>
      </w:r>
      <w:r w:rsidR="00FE3E56">
        <w:t xml:space="preserve"> </w:t>
      </w:r>
      <w:r>
        <w:t>sociale et ne pourront se substituer à aucun élément de rémunération,</w:t>
      </w:r>
    </w:p>
    <w:p w:rsidR="002A2815" w:rsidRDefault="002A2815" w:rsidP="002A2815">
      <w:r>
        <w:t>- N’ont pas le caractère de salaire.</w:t>
      </w:r>
    </w:p>
    <w:p w:rsidR="002A2815" w:rsidRDefault="002A2815" w:rsidP="002A2815">
      <w:r>
        <w:t>Les sommes réparties au titre de l’intéressement sont exonérées de cotisations de sécurité</w:t>
      </w:r>
      <w:r w:rsidR="00FE3E56">
        <w:t xml:space="preserve"> </w:t>
      </w:r>
      <w:r>
        <w:t>sociale. En revanche, elles sont soumises à la contribution sociale généralisée (CSG) et à la</w:t>
      </w:r>
      <w:r w:rsidR="00FE3E56">
        <w:t xml:space="preserve"> </w:t>
      </w:r>
      <w:r>
        <w:t>contribution au remboursement de la dette sociale (CRDS).</w:t>
      </w:r>
    </w:p>
    <w:p w:rsidR="002A2815" w:rsidRPr="00FE3E56" w:rsidRDefault="002A2815" w:rsidP="002A2815">
      <w:pPr>
        <w:rPr>
          <w:b/>
          <w:bCs/>
        </w:rPr>
      </w:pPr>
      <w:r w:rsidRPr="009A13FF">
        <w:rPr>
          <w:b/>
          <w:bCs/>
        </w:rPr>
        <w:t>Depuis l’adoption du projet de loi de financement de la Sécurité social, le forfait social</w:t>
      </w:r>
      <w:r w:rsidR="00FE3E56">
        <w:rPr>
          <w:b/>
          <w:bCs/>
        </w:rPr>
        <w:t xml:space="preserve"> </w:t>
      </w:r>
      <w:r w:rsidRPr="009A13FF">
        <w:rPr>
          <w:b/>
          <w:bCs/>
        </w:rPr>
        <w:t>n’est plus applicable aux entreprises de moins de 250 salariés</w:t>
      </w:r>
      <w:r>
        <w:t>.</w:t>
      </w:r>
    </w:p>
    <w:p w:rsidR="009A13FF" w:rsidRDefault="002A2815" w:rsidP="002A2815">
      <w:r>
        <w:t>L’intéressement est soumis pour les bénéficiaires à l’impôt sur le revenu (IR) sauf si les</w:t>
      </w:r>
      <w:r w:rsidR="009A13FF">
        <w:t xml:space="preserve"> </w:t>
      </w:r>
      <w:r>
        <w:t>bénéficiaires souhaitent affecter ces sommes à un plan d’épargne (s’il existe).</w:t>
      </w:r>
    </w:p>
    <w:p w:rsidR="002A2815" w:rsidRDefault="002A2815" w:rsidP="002A2815">
      <w:r>
        <w:t>Eu égard à son caractère par nature aléatoire, l’intéressement est variable et peut être nul.</w:t>
      </w:r>
    </w:p>
    <w:p w:rsidR="002A2815" w:rsidRPr="009A13FF" w:rsidRDefault="002A2815" w:rsidP="009A13FF">
      <w:pPr>
        <w:jc w:val="center"/>
        <w:rPr>
          <w:b/>
          <w:bCs/>
        </w:rPr>
      </w:pPr>
      <w:r w:rsidRPr="009A13FF">
        <w:rPr>
          <w:b/>
          <w:bCs/>
        </w:rPr>
        <w:t>Article 4 : Modalités de calcul</w:t>
      </w:r>
    </w:p>
    <w:p w:rsidR="002A2815" w:rsidRDefault="002A2815" w:rsidP="002A2815">
      <w:r w:rsidRPr="009A13FF">
        <w:rPr>
          <w:i/>
          <w:iCs/>
          <w:color w:val="4472C4" w:themeColor="accent1"/>
        </w:rPr>
        <w:t>La finalité d’un accord d’intéressement étant d’intéresser les salariés à leur travail, on veillera à choisir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des critères facilement compréhensibles et mesurables, proches de l’activité des salariés et répondant à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la stratégie de l’entreprise</w:t>
      </w:r>
      <w:r>
        <w:t>.</w:t>
      </w:r>
    </w:p>
    <w:p w:rsidR="002A2815" w:rsidRPr="009A13FF" w:rsidRDefault="002A2815" w:rsidP="002A2815">
      <w:pPr>
        <w:rPr>
          <w:b/>
          <w:bCs/>
        </w:rPr>
      </w:pPr>
      <w:r w:rsidRPr="009A13FF">
        <w:rPr>
          <w:b/>
          <w:bCs/>
        </w:rPr>
        <w:t>Plafonds</w:t>
      </w:r>
    </w:p>
    <w:p w:rsidR="002A2815" w:rsidRPr="009A13FF" w:rsidRDefault="002A2815" w:rsidP="002A2815">
      <w:pPr>
        <w:rPr>
          <w:highlight w:val="lightGray"/>
        </w:rPr>
      </w:pPr>
      <w:r w:rsidRPr="009A13FF">
        <w:rPr>
          <w:highlight w:val="lightGray"/>
        </w:rPr>
        <w:t>Le plafond global de l’enveloppe d’intéressement ne peut, au titre d’un même exercice, excéder la</w:t>
      </w:r>
    </w:p>
    <w:p w:rsidR="002A2815" w:rsidRDefault="002A2815" w:rsidP="002A2815">
      <w:r w:rsidRPr="009A13FF">
        <w:rPr>
          <w:highlight w:val="lightGray"/>
        </w:rPr>
        <w:t>somme de …...€ par le nombre de salariés bénéficiaires.</w:t>
      </w:r>
    </w:p>
    <w:p w:rsidR="002A2815" w:rsidRDefault="002A2815" w:rsidP="002A2815">
      <w:r>
        <w:t>Dans tous les cas, le montant global des primes d’intéressement distribuées aux salariés</w:t>
      </w:r>
      <w:r w:rsidR="009A13FF">
        <w:t xml:space="preserve"> </w:t>
      </w:r>
      <w:r>
        <w:t>bénéficiaires au titre d’un exercice ne pourra dépasser 20% du total des salaires bruts versées</w:t>
      </w:r>
      <w:r w:rsidR="009A13FF">
        <w:t xml:space="preserve"> </w:t>
      </w:r>
      <w:r>
        <w:t xml:space="preserve">aux personnes concernées </w:t>
      </w:r>
      <w:r w:rsidRPr="009A13FF">
        <w:rPr>
          <w:highlight w:val="lightGray"/>
        </w:rPr>
        <w:t>(indiquer ce montant par l’expert-comptable).</w:t>
      </w:r>
    </w:p>
    <w:p w:rsidR="002A2815" w:rsidRDefault="002A2815" w:rsidP="002A2815">
      <w:r>
        <w:t>Le montant des primes d’intéressement distribuées à un même salarié ne peut au titre d’un</w:t>
      </w:r>
      <w:r w:rsidR="009A13FF">
        <w:t xml:space="preserve"> </w:t>
      </w:r>
      <w:r>
        <w:t>même exercice, excéder une somme égale à la moitié du montant du plafond annuel de la</w:t>
      </w:r>
      <w:r w:rsidR="009A13FF">
        <w:t xml:space="preserve"> </w:t>
      </w:r>
      <w:r>
        <w:t xml:space="preserve">sécurité sociale </w:t>
      </w:r>
      <w:r w:rsidRPr="009A13FF">
        <w:rPr>
          <w:highlight w:val="lightGray"/>
        </w:rPr>
        <w:t>(indiquer le montant de l’année N par l’expert-comptable).</w:t>
      </w:r>
    </w:p>
    <w:p w:rsidR="002A2815" w:rsidRPr="009A13FF" w:rsidRDefault="002A2815" w:rsidP="002A2815">
      <w:pPr>
        <w:rPr>
          <w:b/>
          <w:bCs/>
        </w:rPr>
      </w:pPr>
      <w:r w:rsidRPr="009A13FF">
        <w:rPr>
          <w:b/>
          <w:bCs/>
          <w:highlight w:val="lightGray"/>
        </w:rPr>
        <w:lastRenderedPageBreak/>
        <w:t>Définition des objectifs et du seuil de déclenchement (à discuter au sein de l’entreprise)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Le détail de chaque critère de la formule de calcul doit permettre aux salariés et au chef d’entreprise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d’apprécier, chaque année d’application de l’accord, le suivi et le calcul de chaque critère par année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civile.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Le seuil de déclenchement permet d’atteindre un objectif donné par un critère. S’il n’est pas atteint le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 xml:space="preserve">versement de l’intéressement sera nul. 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La part d’intéressement peut aussi croître à mesure que l’atteinte de l’objectif est satisfaisante.</w:t>
      </w:r>
    </w:p>
    <w:p w:rsidR="002A2815" w:rsidRDefault="002A2815" w:rsidP="002A2815">
      <w:r w:rsidRPr="009A13FF">
        <w:rPr>
          <w:i/>
          <w:iCs/>
          <w:color w:val="4472C4" w:themeColor="accent1"/>
        </w:rPr>
        <w:t>La formule de calcul de l’intéressement peut se baser sur les résultats (indicateurs financiers ou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comptables) tels que bénéfice fiscal ou bénéfice d’exploitation, et/ou les performances (atteintes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d’objectifs qualitatifs ou amélioration de la productivité) de l’entreprise</w:t>
      </w:r>
      <w:r>
        <w:t>.</w:t>
      </w:r>
    </w:p>
    <w:p w:rsidR="002A2815" w:rsidRDefault="002A2815" w:rsidP="002A2815">
      <w:r w:rsidRPr="009A13FF">
        <w:rPr>
          <w:b/>
          <w:bCs/>
          <w:highlight w:val="lightGray"/>
        </w:rPr>
        <w:t>Exemple d’intéressement à la performance</w:t>
      </w:r>
      <w:r w:rsidRPr="009A13FF">
        <w:rPr>
          <w:highlight w:val="lightGray"/>
        </w:rPr>
        <w:t xml:space="preserve"> - </w:t>
      </w:r>
      <w:r w:rsidR="009A13FF" w:rsidRPr="009A13FF">
        <w:rPr>
          <w:highlight w:val="lightGray"/>
          <w:u w:val="single"/>
        </w:rPr>
        <w:t>À</w:t>
      </w:r>
      <w:r w:rsidRPr="009A13FF">
        <w:rPr>
          <w:highlight w:val="lightGray"/>
          <w:u w:val="single"/>
        </w:rPr>
        <w:t xml:space="preserve"> titre purement illustratif</w:t>
      </w:r>
    </w:p>
    <w:p w:rsidR="002A2815" w:rsidRPr="009A13FF" w:rsidRDefault="002A2815" w:rsidP="002A2815">
      <w:pPr>
        <w:rPr>
          <w:b/>
          <w:bCs/>
          <w:i/>
          <w:iCs/>
          <w:color w:val="4472C4" w:themeColor="accent1"/>
        </w:rPr>
      </w:pPr>
      <w:r w:rsidRPr="009A13FF">
        <w:rPr>
          <w:b/>
          <w:bCs/>
          <w:i/>
          <w:iCs/>
          <w:color w:val="4472C4" w:themeColor="accent1"/>
        </w:rPr>
        <w:t>Ne pas dupliquer dans l’imprimé-type ou alors sous couvert d’une notice explicative car il</w:t>
      </w:r>
      <w:r w:rsidR="009A13FF" w:rsidRPr="009A13FF">
        <w:rPr>
          <w:b/>
          <w:bCs/>
          <w:i/>
          <w:iCs/>
          <w:color w:val="4472C4" w:themeColor="accent1"/>
        </w:rPr>
        <w:t xml:space="preserve"> </w:t>
      </w:r>
      <w:r w:rsidRPr="009A13FF">
        <w:rPr>
          <w:b/>
          <w:bCs/>
          <w:i/>
          <w:iCs/>
          <w:color w:val="4472C4" w:themeColor="accent1"/>
        </w:rPr>
        <w:t>appartient au chef d’entreprise de définir lui-même les critères de performance de l’accord.</w:t>
      </w:r>
    </w:p>
    <w:p w:rsidR="009A13FF" w:rsidRDefault="002A2815" w:rsidP="002A2815">
      <w:r w:rsidRPr="009A13FF">
        <w:rPr>
          <w:highlight w:val="lightGray"/>
        </w:rPr>
        <w:t>Amélioration de la sécurité : taux de fréquence des accidents du travail</w:t>
      </w:r>
    </w:p>
    <w:p w:rsidR="002A2815" w:rsidRDefault="002A2815" w:rsidP="002A2815">
      <w:r w:rsidRPr="009A13FF">
        <w:rPr>
          <w:highlight w:val="lightGray"/>
        </w:rPr>
        <w:t>Objectif : diminuer le taux déterminé en amont par le chef d’entreprise</w:t>
      </w:r>
      <w:r>
        <w:t>.</w:t>
      </w:r>
    </w:p>
    <w:p w:rsidR="002A2815" w:rsidRDefault="002A2815" w:rsidP="002A2815">
      <w:r w:rsidRPr="009A13FF">
        <w:rPr>
          <w:highlight w:val="lightGray"/>
        </w:rPr>
        <w:t>Si le taux constaté est inférieur au taux référent fixé dans l’accord, alors il n’y aura pas</w:t>
      </w:r>
      <w:r w:rsidR="009A13FF" w:rsidRPr="009A13FF">
        <w:rPr>
          <w:highlight w:val="lightGray"/>
        </w:rPr>
        <w:t xml:space="preserve"> </w:t>
      </w:r>
      <w:r w:rsidRPr="009A13FF">
        <w:rPr>
          <w:highlight w:val="lightGray"/>
        </w:rPr>
        <w:t>d’intéressement</w:t>
      </w:r>
      <w:r>
        <w:t>.</w:t>
      </w:r>
    </w:p>
    <w:p w:rsidR="002A2815" w:rsidRDefault="002A2815" w:rsidP="002A2815">
      <w:r w:rsidRPr="009A13FF">
        <w:rPr>
          <w:highlight w:val="lightGray"/>
        </w:rPr>
        <w:t>Attente des consommateurs : taux de satisfaction client</w:t>
      </w:r>
    </w:p>
    <w:p w:rsidR="002A2815" w:rsidRDefault="002A2815" w:rsidP="002A2815">
      <w:r w:rsidRPr="009A13FF">
        <w:rPr>
          <w:highlight w:val="lightGray"/>
        </w:rPr>
        <w:t>Impacts environnementaux : consommation d’eau du site, consommation et recyclage du papier</w:t>
      </w:r>
    </w:p>
    <w:p w:rsidR="002A2815" w:rsidRPr="009A13FF" w:rsidRDefault="002A2815" w:rsidP="002A2815">
      <w:pPr>
        <w:rPr>
          <w:b/>
          <w:bCs/>
        </w:rPr>
      </w:pPr>
      <w:r w:rsidRPr="009A13FF">
        <w:rPr>
          <w:b/>
          <w:bCs/>
        </w:rPr>
        <w:t>Périodes de calcul</w:t>
      </w:r>
    </w:p>
    <w:p w:rsidR="002A2815" w:rsidRPr="009A13FF" w:rsidRDefault="002A2815" w:rsidP="002A2815">
      <w:pPr>
        <w:rPr>
          <w:i/>
          <w:iCs/>
          <w:color w:val="4472C4" w:themeColor="accent1"/>
        </w:rPr>
      </w:pPr>
      <w:r w:rsidRPr="009A13FF">
        <w:rPr>
          <w:i/>
          <w:iCs/>
          <w:color w:val="4472C4" w:themeColor="accent1"/>
        </w:rPr>
        <w:t>La période de calcul retenue par l’accord d’intéressement peut être une année, et correspondre par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exemple à l’exercice comptable de l’entreprise, ou être d’une durée inférieure, à condition que cette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période ne soit pas inférieure au trimestre.</w:t>
      </w:r>
    </w:p>
    <w:p w:rsidR="002A2815" w:rsidRDefault="002A2815" w:rsidP="002A2815">
      <w:r w:rsidRPr="009A13FF">
        <w:rPr>
          <w:i/>
          <w:iCs/>
          <w:color w:val="4472C4" w:themeColor="accent1"/>
        </w:rPr>
        <w:t>La période de calcul de l’intéressement peut donc être égale à une année ou à trois, quatre, ou encore</w:t>
      </w:r>
      <w:r w:rsidR="009A13FF" w:rsidRPr="009A13FF">
        <w:rPr>
          <w:i/>
          <w:iCs/>
          <w:color w:val="4472C4" w:themeColor="accent1"/>
        </w:rPr>
        <w:t xml:space="preserve"> </w:t>
      </w:r>
      <w:r w:rsidRPr="009A13FF">
        <w:rPr>
          <w:i/>
          <w:iCs/>
          <w:color w:val="4472C4" w:themeColor="accent1"/>
        </w:rPr>
        <w:t>six mois</w:t>
      </w:r>
      <w:r>
        <w:t>.</w:t>
      </w:r>
    </w:p>
    <w:p w:rsidR="002A2815" w:rsidRPr="009A13FF" w:rsidRDefault="002A2815" w:rsidP="009A13FF">
      <w:pPr>
        <w:jc w:val="center"/>
        <w:rPr>
          <w:b/>
          <w:bCs/>
        </w:rPr>
      </w:pPr>
      <w:r w:rsidRPr="009A13FF">
        <w:rPr>
          <w:b/>
          <w:bCs/>
        </w:rPr>
        <w:t>Article 5 : Versement de la prime</w:t>
      </w:r>
    </w:p>
    <w:p w:rsidR="002A2815" w:rsidRPr="009A13FF" w:rsidRDefault="002A2815" w:rsidP="002A2815">
      <w:pPr>
        <w:rPr>
          <w:b/>
          <w:bCs/>
        </w:rPr>
      </w:pPr>
      <w:r w:rsidRPr="009A13FF">
        <w:rPr>
          <w:b/>
          <w:bCs/>
        </w:rPr>
        <w:t>Répartition de la prime (</w:t>
      </w:r>
      <w:r w:rsidRPr="009A13FF">
        <w:rPr>
          <w:b/>
          <w:bCs/>
          <w:u w:val="single"/>
        </w:rPr>
        <w:t>à discuter au sein l’entreprise</w:t>
      </w:r>
      <w:r w:rsidRPr="009A13FF">
        <w:rPr>
          <w:b/>
          <w:bCs/>
        </w:rPr>
        <w:t>)</w:t>
      </w:r>
    </w:p>
    <w:p w:rsidR="002A2815" w:rsidRPr="00D26C94" w:rsidRDefault="002A2815" w:rsidP="002A2815">
      <w:pPr>
        <w:rPr>
          <w:i/>
          <w:iCs/>
        </w:rPr>
      </w:pPr>
      <w:r w:rsidRPr="00D26C94">
        <w:rPr>
          <w:b/>
          <w:bCs/>
          <w:i/>
          <w:iCs/>
          <w:color w:val="4472C4" w:themeColor="accent1"/>
        </w:rPr>
        <w:t>Proportionnelle à la durée de présence</w:t>
      </w:r>
      <w:r w:rsidRPr="00D26C94">
        <w:rPr>
          <w:i/>
          <w:iCs/>
          <w:color w:val="4472C4" w:themeColor="accent1"/>
        </w:rPr>
        <w:t xml:space="preserve"> : il s’agit des périodes de travail effectif (ce qui peut</w:t>
      </w:r>
      <w:r w:rsidR="009A13FF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permettre une prise en compte différenciée entre temps partiel et temps complet) comprenant les</w:t>
      </w:r>
      <w:r w:rsidR="009A13FF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périodes légalement assimilées de plein droit à du travail effectif rémunérées comme telles (congés</w:t>
      </w:r>
      <w:r w:rsidR="009A13FF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payés, congé maternité, accident du travail etc.)</w:t>
      </w:r>
      <w:r w:rsidRPr="00D26C94">
        <w:rPr>
          <w:i/>
          <w:iCs/>
        </w:rPr>
        <w:t>.</w:t>
      </w:r>
    </w:p>
    <w:p w:rsidR="002A2815" w:rsidRPr="00D26C94" w:rsidRDefault="002A2815" w:rsidP="002A2815">
      <w:pPr>
        <w:rPr>
          <w:i/>
          <w:iCs/>
        </w:rPr>
      </w:pPr>
      <w:r w:rsidRPr="00D26C94">
        <w:rPr>
          <w:b/>
          <w:bCs/>
          <w:i/>
          <w:iCs/>
          <w:color w:val="4472C4" w:themeColor="accent1"/>
        </w:rPr>
        <w:t>Proportionnelle au salaire</w:t>
      </w:r>
      <w:r w:rsidRPr="00D26C94">
        <w:rPr>
          <w:i/>
          <w:iCs/>
          <w:color w:val="4472C4" w:themeColor="accent1"/>
        </w:rPr>
        <w:t xml:space="preserve"> : c’est à l’accord de définir la notion de salaire retenue : soit du salaire</w:t>
      </w:r>
      <w:r w:rsidR="00D26C94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effectivement versé, soit du salaire de référence correspondant à la rémunération habituelle des</w:t>
      </w:r>
      <w:r w:rsidR="00D26C94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salariés. La définition du salaire peut également intégrer un plancher et/ou un plafond.</w:t>
      </w:r>
    </w:p>
    <w:p w:rsidR="00D26C94" w:rsidRPr="00D26C94" w:rsidRDefault="002A2815" w:rsidP="002A2815">
      <w:pPr>
        <w:rPr>
          <w:i/>
          <w:iCs/>
          <w:color w:val="4472C4" w:themeColor="accent1"/>
        </w:rPr>
      </w:pPr>
      <w:r w:rsidRPr="00D26C94">
        <w:rPr>
          <w:i/>
          <w:iCs/>
          <w:color w:val="4472C4" w:themeColor="accent1"/>
          <w:u w:val="single"/>
        </w:rPr>
        <w:lastRenderedPageBreak/>
        <w:t>Attention</w:t>
      </w:r>
      <w:r w:rsidRPr="00D26C94">
        <w:rPr>
          <w:i/>
          <w:iCs/>
          <w:color w:val="4472C4" w:themeColor="accent1"/>
        </w:rPr>
        <w:t xml:space="preserve"> : si le chef d’entreprise bénéficie de l’accord d’intéressement, le revenu professionnel perçu</w:t>
      </w:r>
      <w:r w:rsidR="00D26C94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par ce dernier est intégré dans la répartition proportionnelle aux salaires. Le revenu du dirigeant est</w:t>
      </w:r>
      <w:r w:rsidR="00D26C94" w:rsidRPr="00D26C94">
        <w:rPr>
          <w:i/>
          <w:iCs/>
          <w:color w:val="4472C4" w:themeColor="accent1"/>
        </w:rPr>
        <w:t xml:space="preserve"> </w:t>
      </w:r>
      <w:r w:rsidRPr="00D26C94">
        <w:rPr>
          <w:i/>
          <w:iCs/>
          <w:color w:val="4472C4" w:themeColor="accent1"/>
        </w:rPr>
        <w:t>plafonné à la hauteur du salaire le plus élevé dans l’entreprise.</w:t>
      </w:r>
    </w:p>
    <w:p w:rsidR="002A2815" w:rsidRPr="00D26C94" w:rsidRDefault="002A2815" w:rsidP="002A2815">
      <w:pPr>
        <w:rPr>
          <w:i/>
          <w:iCs/>
          <w:color w:val="4472C4" w:themeColor="accent1"/>
        </w:rPr>
      </w:pPr>
      <w:r w:rsidRPr="00D26C94">
        <w:rPr>
          <w:b/>
          <w:bCs/>
          <w:i/>
          <w:iCs/>
          <w:color w:val="4472C4" w:themeColor="accent1"/>
        </w:rPr>
        <w:t>Uniforme</w:t>
      </w:r>
      <w:r w:rsidRPr="00D26C94">
        <w:rPr>
          <w:i/>
          <w:iCs/>
          <w:color w:val="4472C4" w:themeColor="accent1"/>
        </w:rPr>
        <w:t xml:space="preserve"> : l’enveloppe est divisée entre tous les salariés à part égale.</w:t>
      </w:r>
    </w:p>
    <w:p w:rsidR="002A2815" w:rsidRDefault="002A2815" w:rsidP="002A2815">
      <w:r w:rsidRPr="00D26C94">
        <w:rPr>
          <w:b/>
          <w:bCs/>
          <w:i/>
          <w:iCs/>
          <w:color w:val="4472C4" w:themeColor="accent1"/>
        </w:rPr>
        <w:t>Panachage</w:t>
      </w:r>
      <w:r w:rsidRPr="00D26C94">
        <w:rPr>
          <w:i/>
          <w:iCs/>
          <w:color w:val="4472C4" w:themeColor="accent1"/>
        </w:rPr>
        <w:t xml:space="preserve"> : répartition utilisant conjointement plusieurs de ces critères</w:t>
      </w:r>
    </w:p>
    <w:p w:rsidR="002A2815" w:rsidRPr="00D26C94" w:rsidRDefault="002A2815" w:rsidP="002A2815">
      <w:pPr>
        <w:rPr>
          <w:b/>
          <w:bCs/>
        </w:rPr>
      </w:pPr>
      <w:r w:rsidRPr="00D26C94">
        <w:rPr>
          <w:b/>
          <w:bCs/>
        </w:rPr>
        <w:t>Dates de versement</w:t>
      </w:r>
    </w:p>
    <w:p w:rsidR="002A2815" w:rsidRDefault="002A2815" w:rsidP="002A2815">
      <w:r>
        <w:t>Le versement de la prime d’intéressement à chaque salarié interviendra au plus tard le dernier</w:t>
      </w:r>
      <w:r w:rsidR="00D26C94">
        <w:t xml:space="preserve"> </w:t>
      </w:r>
      <w:r>
        <w:t>jour du 5ième mois suivant la clôture de l’exercice, c’est-à-dire avant le 1er juin pour un exercice</w:t>
      </w:r>
      <w:r w:rsidR="00D26C94">
        <w:t xml:space="preserve"> </w:t>
      </w:r>
      <w:r>
        <w:t>conforme à l’année civile.</w:t>
      </w:r>
    </w:p>
    <w:p w:rsidR="002A2815" w:rsidRDefault="002A2815" w:rsidP="002A2815">
      <w:r>
        <w:t>Cette date constitue le point de départ de l’indisponibilité de l’intéressement. Il en va de même</w:t>
      </w:r>
      <w:r w:rsidR="00D26C94">
        <w:t xml:space="preserve"> </w:t>
      </w:r>
      <w:r>
        <w:t>pour les intérêts de retard dus au taux de 1, 33 fois le taux moyen de rendement des obligations</w:t>
      </w:r>
      <w:r w:rsidR="00D26C94">
        <w:t xml:space="preserve"> </w:t>
      </w:r>
      <w:r>
        <w:t>des sociétés privées (TMOP) publié par le ministère chargé de l’Économie.</w:t>
      </w:r>
    </w:p>
    <w:p w:rsidR="002A2815" w:rsidRPr="00D26C94" w:rsidRDefault="002A2815" w:rsidP="002A2815">
      <w:pPr>
        <w:rPr>
          <w:b/>
          <w:bCs/>
        </w:rPr>
      </w:pPr>
      <w:r w:rsidRPr="00D26C94">
        <w:rPr>
          <w:b/>
          <w:bCs/>
          <w:highlight w:val="lightGray"/>
        </w:rPr>
        <w:t>Affectation au PEE (optionnel)</w:t>
      </w:r>
    </w:p>
    <w:p w:rsidR="002A2815" w:rsidRDefault="002A2815" w:rsidP="002A2815">
      <w:r>
        <w:t>Tout ou partie de la prime d’intéressement peut, à la demande des salariés, être affectée au plan</w:t>
      </w:r>
      <w:r w:rsidR="00D26C94">
        <w:t xml:space="preserve"> </w:t>
      </w:r>
      <w:r>
        <w:t xml:space="preserve">d’épargne entreprise (PEE), au plan d’épargne interentreprise (PEI) ou au Plan d’épargne pour </w:t>
      </w:r>
      <w:proofErr w:type="gramStart"/>
      <w:r>
        <w:t>la</w:t>
      </w:r>
      <w:r w:rsidR="00D26C94">
        <w:t xml:space="preserve">  </w:t>
      </w:r>
      <w:r>
        <w:t>retraite</w:t>
      </w:r>
      <w:proofErr w:type="gramEnd"/>
      <w:r>
        <w:t xml:space="preserve"> collectif (Perco), s’il a été mis en place dans l’entreprise, dans les conditions fixées par</w:t>
      </w:r>
      <w:r w:rsidR="00D26C94">
        <w:t xml:space="preserve"> </w:t>
      </w:r>
      <w:r>
        <w:t>l’accord portant création d’un PEE signé le xxx. Dans ce cas, les primes d’intéressement sont</w:t>
      </w:r>
      <w:r w:rsidR="00D26C94">
        <w:t xml:space="preserve"> </w:t>
      </w:r>
      <w:r>
        <w:t>exonérées d’impôt sur le revenu dans la limite de la moitié du plafond annuel de sécurité sociale.</w:t>
      </w:r>
    </w:p>
    <w:p w:rsidR="00D26C94" w:rsidRDefault="002A2815" w:rsidP="002A2815">
      <w:r>
        <w:t>Si le salarié souhaite percevoir l’intéressement, il devra expressément demander son versement.</w:t>
      </w:r>
    </w:p>
    <w:p w:rsidR="002A2815" w:rsidRDefault="00D26C94" w:rsidP="002A2815">
      <w:r>
        <w:t>À</w:t>
      </w:r>
      <w:r w:rsidR="002A2815">
        <w:t xml:space="preserve"> défaut, si le salarié n’a pas fait connaître son arbitrage entre perception immédiate des primes</w:t>
      </w:r>
      <w:r>
        <w:t xml:space="preserve"> </w:t>
      </w:r>
      <w:r w:rsidR="002A2815">
        <w:t>versées au titre de l’intéressement et affectation à un support d’épargne dans un délai de</w:t>
      </w:r>
      <w:r>
        <w:t xml:space="preserve"> </w:t>
      </w:r>
      <w:r w:rsidR="002A2815">
        <w:t>15 jours, les sommes feront l’objet d’un fléchage par défaut uniquement dirigé vers le PEE (ou</w:t>
      </w:r>
      <w:r>
        <w:t xml:space="preserve"> </w:t>
      </w:r>
      <w:r w:rsidR="002A2815">
        <w:t>vers le PEI), s’il a été mis en place dans l’entreprise.</w:t>
      </w:r>
    </w:p>
    <w:p w:rsidR="002A2815" w:rsidRPr="00D26C94" w:rsidRDefault="002A2815" w:rsidP="00D26C94">
      <w:pPr>
        <w:jc w:val="center"/>
        <w:rPr>
          <w:b/>
          <w:bCs/>
        </w:rPr>
      </w:pPr>
      <w:r w:rsidRPr="00D26C94">
        <w:rPr>
          <w:b/>
          <w:bCs/>
        </w:rPr>
        <w:t>Article 6 : Information des salariés</w:t>
      </w:r>
    </w:p>
    <w:p w:rsidR="002A2815" w:rsidRDefault="002A2815" w:rsidP="002A2815">
      <w:r w:rsidRPr="00D26C94">
        <w:rPr>
          <w:u w:val="single"/>
        </w:rPr>
        <w:t>Notice d’information</w:t>
      </w:r>
      <w:r>
        <w:t xml:space="preserve"> : à chaque versement lié à l’intéressement, le salarié recevra une fiche</w:t>
      </w:r>
      <w:r w:rsidR="00D26C94">
        <w:t xml:space="preserve"> </w:t>
      </w:r>
      <w:r>
        <w:t>distincte du bulletin de paie qui précise le montant des droits attribués, ainsi que les règles de</w:t>
      </w:r>
      <w:r w:rsidR="00D26C94">
        <w:t xml:space="preserve"> </w:t>
      </w:r>
      <w:r>
        <w:t>calcul et de répartition prévues par l’accord d’intéressement.</w:t>
      </w:r>
    </w:p>
    <w:p w:rsidR="002A2815" w:rsidRDefault="002A2815" w:rsidP="002A2815">
      <w:r w:rsidRPr="00D26C94">
        <w:rPr>
          <w:u w:val="single"/>
        </w:rPr>
        <w:t>Affichage</w:t>
      </w:r>
      <w:r>
        <w:t xml:space="preserve"> : tous les salariés de l’entreprise xx seront informés des modalités générales de l’accord</w:t>
      </w:r>
      <w:r w:rsidR="00D26C94">
        <w:t xml:space="preserve"> </w:t>
      </w:r>
      <w:r>
        <w:t>par une note d’information reprenant le texte même de l’accord, par la voie d’affichage sur les</w:t>
      </w:r>
      <w:r w:rsidR="00D26C94">
        <w:t xml:space="preserve"> </w:t>
      </w:r>
      <w:r>
        <w:t xml:space="preserve">emplacements réservés à la communication du personnel </w:t>
      </w:r>
      <w:r w:rsidRPr="00D26C94">
        <w:rPr>
          <w:b/>
          <w:bCs/>
        </w:rPr>
        <w:t>ou par tout moyen y compris</w:t>
      </w:r>
      <w:r w:rsidR="00D26C94" w:rsidRPr="00D26C94">
        <w:rPr>
          <w:b/>
          <w:bCs/>
        </w:rPr>
        <w:t xml:space="preserve"> </w:t>
      </w:r>
      <w:r w:rsidRPr="00D26C94">
        <w:rPr>
          <w:b/>
          <w:bCs/>
        </w:rPr>
        <w:t>électronique</w:t>
      </w:r>
      <w:r>
        <w:t>.</w:t>
      </w:r>
    </w:p>
    <w:p w:rsidR="002A2815" w:rsidRDefault="002A2815" w:rsidP="002A2815">
      <w:r w:rsidRPr="00D26C94">
        <w:rPr>
          <w:u w:val="single"/>
        </w:rPr>
        <w:t>Livret d’épargne salariale</w:t>
      </w:r>
      <w:r>
        <w:t xml:space="preserve"> : l’entreprise qui propose un dispositif d’épargne salariale doit remettre</w:t>
      </w:r>
      <w:r w:rsidR="00D26C94">
        <w:t xml:space="preserve"> </w:t>
      </w:r>
      <w:r>
        <w:t>au salarié, lors de la conclusion de son contrat de travail, un livret d’épargne salariale présentant</w:t>
      </w:r>
      <w:r w:rsidR="00D26C94">
        <w:t xml:space="preserve"> </w:t>
      </w:r>
      <w:r>
        <w:t>les dispositifs mis en place au sein de l’entreprise. Ce livret devra également être porté à la</w:t>
      </w:r>
      <w:r w:rsidR="00D26C94">
        <w:t xml:space="preserve"> </w:t>
      </w:r>
      <w:r>
        <w:t>connaissance des représentants du personnel.</w:t>
      </w:r>
    </w:p>
    <w:p w:rsidR="002A2815" w:rsidRDefault="002A2815" w:rsidP="002A2815">
      <w:r w:rsidRPr="00D26C94">
        <w:rPr>
          <w:u w:val="single"/>
        </w:rPr>
        <w:t>État récapitulatif aux salariés quittant l’entreprise</w:t>
      </w:r>
      <w:r>
        <w:t xml:space="preserve"> : Inséré dans le livret d’épargne salariale, cet</w:t>
      </w:r>
      <w:r w:rsidR="00D26C94">
        <w:t xml:space="preserve"> </w:t>
      </w:r>
      <w:r>
        <w:t>état récapitulatif présente l’ensemble des sommes et valeurs mobilières épargnées par le salarié</w:t>
      </w:r>
      <w:r w:rsidR="00D26C94">
        <w:t xml:space="preserve"> </w:t>
      </w:r>
      <w:r>
        <w:t>au sein de l’entreprise et leur date de disponibilité. Il doit également informer le salarié sur le fait</w:t>
      </w:r>
      <w:r w:rsidR="00D26C94">
        <w:t xml:space="preserve"> </w:t>
      </w:r>
      <w:r>
        <w:t xml:space="preserve">que les </w:t>
      </w:r>
      <w:r>
        <w:lastRenderedPageBreak/>
        <w:t>frais de tenue de compte-conservation sont pris en charge soit par l’entreprise, soit par</w:t>
      </w:r>
      <w:r w:rsidR="00D26C94">
        <w:t xml:space="preserve"> </w:t>
      </w:r>
      <w:r>
        <w:t xml:space="preserve">l’épargnant par prélèvement sur ses avoirs. </w:t>
      </w:r>
    </w:p>
    <w:p w:rsidR="002A2815" w:rsidRPr="00D26C94" w:rsidRDefault="002A2815" w:rsidP="00D26C94">
      <w:pPr>
        <w:jc w:val="center"/>
        <w:rPr>
          <w:b/>
          <w:bCs/>
        </w:rPr>
      </w:pPr>
      <w:r w:rsidRPr="00D26C94">
        <w:rPr>
          <w:b/>
          <w:bCs/>
        </w:rPr>
        <w:t>Article 7 : Suivi de l’application de l’accord</w:t>
      </w:r>
    </w:p>
    <w:p w:rsidR="002A2815" w:rsidRDefault="002A2815" w:rsidP="002A2815">
      <w:r w:rsidRPr="00D26C94">
        <w:rPr>
          <w:highlight w:val="lightGray"/>
        </w:rPr>
        <w:t>Si l’entreprise est pourvue d’IRP :</w:t>
      </w:r>
    </w:p>
    <w:p w:rsidR="002A2815" w:rsidRDefault="002A2815" w:rsidP="002A2815">
      <w:r w:rsidRPr="00D26C94">
        <w:rPr>
          <w:highlight w:val="lightGray"/>
        </w:rPr>
        <w:t>Le Comité social et économique (ou autre IRP ou une « commission intéressement » créée à cet</w:t>
      </w:r>
      <w:r w:rsidR="00D26C94" w:rsidRPr="00D26C94">
        <w:rPr>
          <w:highlight w:val="lightGray"/>
        </w:rPr>
        <w:t xml:space="preserve"> </w:t>
      </w:r>
      <w:r w:rsidRPr="00D26C94">
        <w:rPr>
          <w:highlight w:val="lightGray"/>
        </w:rPr>
        <w:t>effet)</w:t>
      </w:r>
      <w:r>
        <w:t xml:space="preserve"> sera informé chaque </w:t>
      </w:r>
      <w:r w:rsidRPr="00D26C94">
        <w:rPr>
          <w:highlight w:val="lightGray"/>
        </w:rPr>
        <w:t>(déterminer la fréquence)</w:t>
      </w:r>
      <w:r>
        <w:t xml:space="preserve"> des simulations effectuées sur les</w:t>
      </w:r>
      <w:r w:rsidR="00D26C94">
        <w:t xml:space="preserve"> </w:t>
      </w:r>
      <w:r>
        <w:t>modalités de calcul et les critères de répartition de l'intéressement pour l’année complète. Il se</w:t>
      </w:r>
      <w:r w:rsidR="00D26C94">
        <w:t xml:space="preserve"> </w:t>
      </w:r>
      <w:r>
        <w:t>verra remettre tous les documents utiles à sa compréhension et pourra, le cas échéant, solliciter</w:t>
      </w:r>
      <w:r w:rsidR="00D26C94">
        <w:t xml:space="preserve"> </w:t>
      </w:r>
      <w:r>
        <w:t>toute précision ou tout élément d’information qui lui semblerait nécessaire.</w:t>
      </w:r>
    </w:p>
    <w:p w:rsidR="002A2815" w:rsidRPr="00D26C94" w:rsidRDefault="002A2815" w:rsidP="00D26C94">
      <w:pPr>
        <w:jc w:val="center"/>
        <w:rPr>
          <w:b/>
          <w:bCs/>
        </w:rPr>
      </w:pPr>
      <w:r w:rsidRPr="00D26C94">
        <w:rPr>
          <w:b/>
          <w:bCs/>
        </w:rPr>
        <w:t>Article 8 : Différends</w:t>
      </w:r>
    </w:p>
    <w:p w:rsidR="002A2815" w:rsidRDefault="002A2815" w:rsidP="002A2815">
      <w:r>
        <w:t>Les différends qui pourraient surgir dans l’application du présent accord ou de ses avenants</w:t>
      </w:r>
      <w:r w:rsidR="00D26C94">
        <w:t xml:space="preserve"> </w:t>
      </w:r>
      <w:r>
        <w:t xml:space="preserve">seront portés à la connaissance de </w:t>
      </w:r>
      <w:r w:rsidRPr="00D26C94">
        <w:rPr>
          <w:highlight w:val="lightGray"/>
        </w:rPr>
        <w:t>(choisir : « commission intéressement » ou IRP en présence</w:t>
      </w:r>
      <w:r w:rsidR="00D26C94" w:rsidRPr="00D26C94">
        <w:rPr>
          <w:highlight w:val="lightGray"/>
        </w:rPr>
        <w:t xml:space="preserve"> </w:t>
      </w:r>
      <w:r w:rsidRPr="00D26C94">
        <w:rPr>
          <w:highlight w:val="lightGray"/>
        </w:rPr>
        <w:t>dans l’entreprise)</w:t>
      </w:r>
      <w:r>
        <w:t xml:space="preserve"> qui proposera toute suggestion en vue de leur solution.</w:t>
      </w:r>
    </w:p>
    <w:p w:rsidR="002A2815" w:rsidRDefault="002A2815" w:rsidP="002A2815">
      <w:r>
        <w:t>Pendant toute la durée du différend, l’application de l’accord se poursuivra conformément aux</w:t>
      </w:r>
      <w:r w:rsidR="00D26C94">
        <w:t xml:space="preserve"> </w:t>
      </w:r>
      <w:r>
        <w:t>règles énoncées.</w:t>
      </w:r>
    </w:p>
    <w:p w:rsidR="002A2815" w:rsidRDefault="002A2815" w:rsidP="002A2815">
      <w:r>
        <w:t>À défaut d’accord, le différend sera porté devant les juridictions compétentes.</w:t>
      </w:r>
    </w:p>
    <w:p w:rsidR="002A2815" w:rsidRPr="00D26C94" w:rsidRDefault="002A2815" w:rsidP="00D26C94">
      <w:pPr>
        <w:jc w:val="center"/>
        <w:rPr>
          <w:b/>
          <w:bCs/>
        </w:rPr>
      </w:pPr>
      <w:r w:rsidRPr="00D26C94">
        <w:rPr>
          <w:b/>
          <w:bCs/>
        </w:rPr>
        <w:t>Article 9 : Révision et dénonciation de l’accord</w:t>
      </w:r>
    </w:p>
    <w:p w:rsidR="002A2815" w:rsidRDefault="002A2815" w:rsidP="002A2815">
      <w:r>
        <w:t>Le présent accord pourra être révisé par avenant dans la même forme que sa conclusion. Pour</w:t>
      </w:r>
      <w:r w:rsidR="00D26C94">
        <w:t xml:space="preserve"> </w:t>
      </w:r>
      <w:r>
        <w:t>être applicable à l’exercice en cours, l’avenant devra avoir été signé au cours des 6 premiers mois</w:t>
      </w:r>
      <w:r w:rsidR="00D26C94">
        <w:t xml:space="preserve"> </w:t>
      </w:r>
      <w:r>
        <w:t>de l’exercice en cours, exception faite des avenants dits de conformité émanant de la DIRECCTE.</w:t>
      </w:r>
    </w:p>
    <w:p w:rsidR="002A2815" w:rsidRDefault="002A2815" w:rsidP="002A2815">
      <w:r>
        <w:t>Le présent accord ne peut être dénoncé que dans la même forme que sa conclusion. La</w:t>
      </w:r>
      <w:r w:rsidR="00D26C94">
        <w:t xml:space="preserve"> </w:t>
      </w:r>
      <w:r>
        <w:t>dénonciation devra être notifiée à la DIRECCTE et intervenir au cours des 6 premiers mois de</w:t>
      </w:r>
      <w:r w:rsidR="00D26C94">
        <w:t xml:space="preserve"> </w:t>
      </w:r>
      <w:r>
        <w:t>l’exercice en cours.</w:t>
      </w:r>
    </w:p>
    <w:p w:rsidR="002A2815" w:rsidRPr="00D26C94" w:rsidRDefault="002A2815" w:rsidP="00D26C94">
      <w:pPr>
        <w:jc w:val="center"/>
        <w:rPr>
          <w:b/>
          <w:bCs/>
        </w:rPr>
      </w:pPr>
      <w:r w:rsidRPr="00D26C94">
        <w:rPr>
          <w:b/>
          <w:bCs/>
        </w:rPr>
        <w:t>Article 10 : Reconduction de l’accord</w:t>
      </w:r>
    </w:p>
    <w:p w:rsidR="002A2815" w:rsidRDefault="002A2815" w:rsidP="002A2815">
      <w:r w:rsidRPr="00D26C94">
        <w:rPr>
          <w:b/>
          <w:bCs/>
          <w:highlight w:val="lightGray"/>
        </w:rPr>
        <w:t>2 hypothèses</w:t>
      </w:r>
      <w:r>
        <w:t xml:space="preserve"> :</w:t>
      </w:r>
    </w:p>
    <w:p w:rsidR="00D26C94" w:rsidRDefault="002A2815" w:rsidP="002A2815">
      <w:r>
        <w:t xml:space="preserve">- </w:t>
      </w:r>
      <w:r w:rsidRPr="00D26C94">
        <w:rPr>
          <w:highlight w:val="lightGray"/>
        </w:rPr>
        <w:t>Cet accord est renouvelable par tacite reconduction pour trois ans</w:t>
      </w:r>
      <w:r>
        <w:t xml:space="preserve"> ;</w:t>
      </w:r>
    </w:p>
    <w:p w:rsidR="002A2815" w:rsidRDefault="002A2815" w:rsidP="002A2815">
      <w:r>
        <w:t xml:space="preserve">- </w:t>
      </w:r>
      <w:r w:rsidR="00D26C94" w:rsidRPr="00D26C94">
        <w:rPr>
          <w:highlight w:val="lightGray"/>
        </w:rPr>
        <w:t>À</w:t>
      </w:r>
      <w:r w:rsidRPr="00D26C94">
        <w:rPr>
          <w:highlight w:val="lightGray"/>
        </w:rPr>
        <w:t xml:space="preserve"> l’issue de la période d’application de l’accord – soit par exemple le 31 décembre 2019 –</w:t>
      </w:r>
      <w:r w:rsidR="00D26C94" w:rsidRPr="00D26C94">
        <w:rPr>
          <w:highlight w:val="lightGray"/>
        </w:rPr>
        <w:t xml:space="preserve"> </w:t>
      </w:r>
      <w:r w:rsidRPr="00D26C94">
        <w:rPr>
          <w:highlight w:val="lightGray"/>
        </w:rPr>
        <w:t>les parties se réuniront afin de juger de l’opportunité de son renouvellement</w:t>
      </w:r>
      <w:r>
        <w:t>.</w:t>
      </w:r>
    </w:p>
    <w:p w:rsidR="002A2815" w:rsidRPr="00FE3E56" w:rsidRDefault="002A2815" w:rsidP="00FE3E56">
      <w:pPr>
        <w:jc w:val="center"/>
        <w:rPr>
          <w:b/>
          <w:bCs/>
        </w:rPr>
      </w:pPr>
      <w:r w:rsidRPr="00FE3E56">
        <w:rPr>
          <w:b/>
          <w:bCs/>
        </w:rPr>
        <w:t>Article 1</w:t>
      </w:r>
      <w:r w:rsidR="00FE3E56" w:rsidRPr="00FE3E56">
        <w:rPr>
          <w:b/>
          <w:bCs/>
        </w:rPr>
        <w:t>1</w:t>
      </w:r>
      <w:r w:rsidRPr="00FE3E56">
        <w:rPr>
          <w:b/>
          <w:bCs/>
        </w:rPr>
        <w:t xml:space="preserve"> : Dépôt</w:t>
      </w:r>
    </w:p>
    <w:p w:rsidR="002A2815" w:rsidRPr="00FE3E56" w:rsidRDefault="002A2815" w:rsidP="002A2815">
      <w:pPr>
        <w:rPr>
          <w:i/>
          <w:iCs/>
          <w:color w:val="4472C4" w:themeColor="accent1"/>
        </w:rPr>
      </w:pPr>
      <w:r w:rsidRPr="00FE3E56">
        <w:rPr>
          <w:i/>
          <w:iCs/>
          <w:color w:val="4472C4" w:themeColor="accent1"/>
        </w:rPr>
        <w:t>Dans tous les cas de figure, les accords doivent être déposés, par voie dématérialisée, au plus tard</w:t>
      </w:r>
      <w:r w:rsidR="00FE3E56" w:rsidRPr="00FE3E56">
        <w:rPr>
          <w:i/>
          <w:iCs/>
          <w:color w:val="4472C4" w:themeColor="accent1"/>
        </w:rPr>
        <w:t xml:space="preserve"> </w:t>
      </w:r>
      <w:r w:rsidRPr="00FE3E56">
        <w:rPr>
          <w:i/>
          <w:iCs/>
          <w:color w:val="4472C4" w:themeColor="accent1"/>
        </w:rPr>
        <w:t>dans les quinze jours suivant la date limite autorisée pour leur conclusion (cf. articles L. 3314-4 et D.</w:t>
      </w:r>
      <w:r w:rsidR="00FE3E56" w:rsidRPr="00FE3E56">
        <w:rPr>
          <w:i/>
          <w:iCs/>
          <w:color w:val="4472C4" w:themeColor="accent1"/>
        </w:rPr>
        <w:t xml:space="preserve"> </w:t>
      </w:r>
      <w:r w:rsidRPr="00FE3E56">
        <w:rPr>
          <w:i/>
          <w:iCs/>
          <w:color w:val="4472C4" w:themeColor="accent1"/>
        </w:rPr>
        <w:t>3313-1 CT). Ce dépôt doit être effectué sur la plateforme de téléprocédure du ministère du travail</w:t>
      </w:r>
      <w:r w:rsidR="00FE3E56" w:rsidRPr="00FE3E56">
        <w:rPr>
          <w:i/>
          <w:iCs/>
          <w:color w:val="4472C4" w:themeColor="accent1"/>
        </w:rPr>
        <w:t xml:space="preserve"> </w:t>
      </w:r>
      <w:r w:rsidRPr="00FE3E56">
        <w:rPr>
          <w:i/>
          <w:iCs/>
          <w:color w:val="4472C4" w:themeColor="accent1"/>
        </w:rPr>
        <w:t>(https://www.teleaccords.travail-emploi.gouv.fr/PortailTeleprocedures/).</w:t>
      </w:r>
    </w:p>
    <w:p w:rsidR="002A2815" w:rsidRPr="00FE3E56" w:rsidRDefault="002A2815" w:rsidP="002A2815">
      <w:pPr>
        <w:rPr>
          <w:i/>
          <w:iCs/>
          <w:color w:val="4472C4" w:themeColor="accent1"/>
        </w:rPr>
      </w:pPr>
      <w:r w:rsidRPr="00FE3E56">
        <w:rPr>
          <w:i/>
          <w:iCs/>
          <w:color w:val="4472C4" w:themeColor="accent1"/>
        </w:rPr>
        <w:t>Le caractère aléatoire de l’intéressement s’oppose à ce qu’un quelconque versement puisse intervenir</w:t>
      </w:r>
      <w:r w:rsidR="00FE3E56" w:rsidRPr="00FE3E56">
        <w:rPr>
          <w:i/>
          <w:iCs/>
          <w:color w:val="4472C4" w:themeColor="accent1"/>
        </w:rPr>
        <w:t xml:space="preserve"> </w:t>
      </w:r>
      <w:r w:rsidRPr="00FE3E56">
        <w:rPr>
          <w:i/>
          <w:iCs/>
          <w:color w:val="4472C4" w:themeColor="accent1"/>
        </w:rPr>
        <w:t>avant que le dépôt ait été effectué.</w:t>
      </w:r>
    </w:p>
    <w:p w:rsidR="002A2815" w:rsidRPr="00FE3E56" w:rsidRDefault="002A2815" w:rsidP="002A2815">
      <w:pPr>
        <w:rPr>
          <w:i/>
          <w:iCs/>
          <w:color w:val="4472C4" w:themeColor="accent1"/>
        </w:rPr>
      </w:pPr>
      <w:r w:rsidRPr="00FE3E56">
        <w:rPr>
          <w:i/>
          <w:iCs/>
          <w:color w:val="4472C4" w:themeColor="accent1"/>
        </w:rPr>
        <w:t>Le contrôle de légalité des accords d’intéressement est assuré par les services de la Direccte.</w:t>
      </w:r>
    </w:p>
    <w:p w:rsidR="002A2815" w:rsidRDefault="002A2815" w:rsidP="002A2815">
      <w:r>
        <w:lastRenderedPageBreak/>
        <w:t>Le présent accord ainsi que les pièces accompagnant le dépôt prévu aux articles D. 3345-1 à</w:t>
      </w:r>
      <w:r w:rsidR="00FE3E56">
        <w:t xml:space="preserve"> </w:t>
      </w:r>
      <w:r>
        <w:t>D. 3345-4 sont déposés sur la plateforme de téléprocédure du ministère du travail.</w:t>
      </w:r>
    </w:p>
    <w:p w:rsidR="002A2815" w:rsidRDefault="002A2815" w:rsidP="002A2815">
      <w:r>
        <w:t>Date et Signatures</w:t>
      </w:r>
    </w:p>
    <w:sectPr w:rsidR="002A28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12" w:rsidRDefault="00DF4912" w:rsidP="00C222C1">
      <w:pPr>
        <w:spacing w:after="0" w:line="240" w:lineRule="auto"/>
      </w:pPr>
      <w:r>
        <w:separator/>
      </w:r>
    </w:p>
  </w:endnote>
  <w:endnote w:type="continuationSeparator" w:id="0">
    <w:p w:rsidR="00DF4912" w:rsidRDefault="00DF4912" w:rsidP="00C2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C1" w:rsidRDefault="00C222C1" w:rsidP="00C222C1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D6ACC6" wp14:editId="5FAF0896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12" w:rsidRDefault="00DF4912" w:rsidP="00C222C1">
      <w:pPr>
        <w:spacing w:after="0" w:line="240" w:lineRule="auto"/>
      </w:pPr>
      <w:r>
        <w:separator/>
      </w:r>
    </w:p>
  </w:footnote>
  <w:footnote w:type="continuationSeparator" w:id="0">
    <w:p w:rsidR="00DF4912" w:rsidRDefault="00DF4912" w:rsidP="00C2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C1" w:rsidRDefault="00C222C1" w:rsidP="00C222C1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6ACC6" wp14:editId="5FAF0896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C222C1" w:rsidRDefault="00C222C1">
    <w:pPr>
      <w:pStyle w:val="En-tte"/>
    </w:pPr>
  </w:p>
  <w:p w:rsidR="00C222C1" w:rsidRDefault="00C222C1">
    <w:pPr>
      <w:pStyle w:val="En-tte"/>
    </w:pPr>
  </w:p>
  <w:p w:rsidR="00C222C1" w:rsidRDefault="00C222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15"/>
    <w:rsid w:val="002A2815"/>
    <w:rsid w:val="009A13FF"/>
    <w:rsid w:val="00C222C1"/>
    <w:rsid w:val="00D26C94"/>
    <w:rsid w:val="00DF4912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82AF"/>
  <w15:chartTrackingRefBased/>
  <w15:docId w15:val="{A4613337-E120-47BD-B235-99467579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22C1"/>
  </w:style>
  <w:style w:type="paragraph" w:styleId="Pieddepage">
    <w:name w:val="footer"/>
    <w:basedOn w:val="Normal"/>
    <w:link w:val="PieddepageCar"/>
    <w:uiPriority w:val="99"/>
    <w:unhideWhenUsed/>
    <w:rsid w:val="00C2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1996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SÉVENO, Pierre</dc:creator>
  <cp:keywords/>
  <dc:description/>
  <cp:lastModifiedBy>Louise Roblot</cp:lastModifiedBy>
  <cp:revision>2</cp:revision>
  <dcterms:created xsi:type="dcterms:W3CDTF">2019-12-06T14:45:00Z</dcterms:created>
  <dcterms:modified xsi:type="dcterms:W3CDTF">2020-01-13T16:39:00Z</dcterms:modified>
</cp:coreProperties>
</file>