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703" w:rsidRPr="00742821" w:rsidRDefault="00D74703" w:rsidP="009432B4">
      <w:pPr>
        <w:pStyle w:val="Titre2"/>
        <w:spacing w:before="240" w:line="240" w:lineRule="auto"/>
        <w:rPr>
          <w:rFonts w:asciiTheme="minorHAnsi" w:hAnsiTheme="minorHAnsi" w:cstheme="minorHAnsi"/>
          <w:sz w:val="32"/>
          <w:lang w:eastAsia="fr-FR"/>
        </w:rPr>
      </w:pPr>
      <w:r w:rsidRPr="00742821">
        <w:rPr>
          <w:rFonts w:asciiTheme="minorHAnsi" w:hAnsiTheme="minorHAnsi" w:cstheme="minorHAnsi"/>
          <w:sz w:val="32"/>
          <w:lang w:eastAsia="fr-FR"/>
        </w:rPr>
        <w:t>Modèle de PV de dissolution d’une EURL</w:t>
      </w:r>
    </w:p>
    <w:p w:rsidR="009432B4" w:rsidRPr="00742821" w:rsidRDefault="009432B4" w:rsidP="009432B4">
      <w:pPr>
        <w:rPr>
          <w:rFonts w:cstheme="minorHAnsi"/>
          <w:sz w:val="20"/>
          <w:szCs w:val="20"/>
        </w:rPr>
      </w:pPr>
    </w:p>
    <w:p w:rsidR="00D74703" w:rsidRPr="00742821" w:rsidRDefault="00D74703" w:rsidP="009432B4">
      <w:pPr>
        <w:rPr>
          <w:rFonts w:cstheme="minorHAnsi"/>
          <w:sz w:val="20"/>
          <w:szCs w:val="20"/>
        </w:rPr>
      </w:pPr>
      <w:r w:rsidRPr="00742821">
        <w:rPr>
          <w:rFonts w:cstheme="minorHAnsi"/>
          <w:sz w:val="20"/>
          <w:szCs w:val="20"/>
        </w:rPr>
        <w:t>PV de dissolution de l’Entreprise Unipersonnelle à Responsabilité limitée… (Dénomination sociale),</w:t>
      </w:r>
    </w:p>
    <w:p w:rsidR="00D74703" w:rsidRPr="00742821" w:rsidRDefault="00D74703" w:rsidP="009432B4">
      <w:pPr>
        <w:rPr>
          <w:rFonts w:cstheme="minorHAnsi"/>
          <w:sz w:val="20"/>
          <w:szCs w:val="20"/>
        </w:rPr>
      </w:pPr>
      <w:r w:rsidRPr="00742821">
        <w:rPr>
          <w:rFonts w:cstheme="minorHAnsi"/>
          <w:sz w:val="20"/>
          <w:szCs w:val="20"/>
        </w:rPr>
        <w:t>Société en liquidation au capital social de XXX euros</w:t>
      </w:r>
    </w:p>
    <w:p w:rsidR="00D74703" w:rsidRPr="00742821" w:rsidRDefault="00D74703" w:rsidP="009432B4">
      <w:pPr>
        <w:rPr>
          <w:rFonts w:cstheme="minorHAnsi"/>
          <w:sz w:val="20"/>
          <w:szCs w:val="20"/>
        </w:rPr>
      </w:pPr>
      <w:r w:rsidRPr="00742821">
        <w:rPr>
          <w:rFonts w:cstheme="minorHAnsi"/>
          <w:sz w:val="20"/>
          <w:szCs w:val="20"/>
        </w:rPr>
        <w:t>Siège social : (adresse)</w:t>
      </w:r>
    </w:p>
    <w:p w:rsidR="00D74703" w:rsidRPr="00742821" w:rsidRDefault="00D74703" w:rsidP="009432B4">
      <w:pPr>
        <w:rPr>
          <w:rFonts w:cstheme="minorHAnsi"/>
          <w:sz w:val="20"/>
          <w:szCs w:val="20"/>
        </w:rPr>
      </w:pPr>
      <w:r w:rsidRPr="00742821">
        <w:rPr>
          <w:rFonts w:cstheme="minorHAnsi"/>
          <w:sz w:val="20"/>
          <w:szCs w:val="20"/>
        </w:rPr>
        <w:t>Procès-verbal des décisions de l’associé unique de l’EURL en date du : (date de prise de décision)</w:t>
      </w:r>
    </w:p>
    <w:p w:rsidR="00D74703" w:rsidRPr="00742821" w:rsidRDefault="00D74703" w:rsidP="009432B4">
      <w:pPr>
        <w:rPr>
          <w:rFonts w:cstheme="minorHAnsi"/>
          <w:sz w:val="20"/>
          <w:szCs w:val="20"/>
        </w:rPr>
      </w:pPr>
      <w:r w:rsidRPr="00742821">
        <w:rPr>
          <w:rFonts w:cstheme="minorHAnsi"/>
          <w:sz w:val="20"/>
          <w:szCs w:val="20"/>
        </w:rPr>
        <w:t>(Prénom et nom de l’associé unique), associé unique de la société (dénomination sociale et régime juridique)</w:t>
      </w:r>
    </w:p>
    <w:p w:rsidR="00D74703" w:rsidRPr="00742821" w:rsidRDefault="00D74703" w:rsidP="009432B4">
      <w:pPr>
        <w:rPr>
          <w:rFonts w:eastAsia="Times New Roman" w:cstheme="minorHAnsi"/>
          <w:b/>
          <w:bCs/>
          <w:color w:val="4C4C4C"/>
          <w:sz w:val="20"/>
          <w:szCs w:val="20"/>
          <w:lang w:eastAsia="fr-FR"/>
        </w:rPr>
      </w:pPr>
      <w:r w:rsidRPr="00742821">
        <w:rPr>
          <w:rFonts w:eastAsia="Times New Roman" w:cstheme="minorHAnsi"/>
          <w:b/>
          <w:bCs/>
          <w:color w:val="4C4C4C"/>
          <w:sz w:val="20"/>
          <w:szCs w:val="20"/>
          <w:u w:val="single"/>
          <w:bdr w:val="none" w:sz="0" w:space="0" w:color="auto" w:frame="1"/>
          <w:lang w:eastAsia="fr-FR"/>
        </w:rPr>
        <w:t>Première résolution :</w:t>
      </w:r>
    </w:p>
    <w:p w:rsidR="00D74703" w:rsidRPr="00742821" w:rsidRDefault="00D74703" w:rsidP="009432B4">
      <w:pPr>
        <w:rPr>
          <w:rFonts w:cstheme="minorHAnsi"/>
          <w:sz w:val="20"/>
          <w:szCs w:val="20"/>
        </w:rPr>
      </w:pPr>
      <w:r w:rsidRPr="00742821">
        <w:rPr>
          <w:rFonts w:cstheme="minorHAnsi"/>
          <w:sz w:val="20"/>
          <w:szCs w:val="20"/>
        </w:rPr>
        <w:t>La société (dénomination de l’entreprise) dont l’expiration était prévue le (date d'expiration) par l’article (article invoquant la date) de ses statuts constitutifs est dissoute par anticipation à partir de ce jour.</w:t>
      </w:r>
    </w:p>
    <w:p w:rsidR="00D74703" w:rsidRPr="00742821" w:rsidRDefault="00D74703" w:rsidP="009432B4">
      <w:pPr>
        <w:rPr>
          <w:rFonts w:cstheme="minorHAnsi"/>
          <w:sz w:val="20"/>
          <w:szCs w:val="20"/>
        </w:rPr>
      </w:pPr>
      <w:r w:rsidRPr="00742821">
        <w:rPr>
          <w:rFonts w:cstheme="minorHAnsi"/>
          <w:sz w:val="20"/>
          <w:szCs w:val="20"/>
        </w:rPr>
        <w:t>Cette résolution ayant été adoptée à l’unanimité.</w:t>
      </w:r>
    </w:p>
    <w:p w:rsidR="00D74703" w:rsidRPr="00742821" w:rsidRDefault="00D74703" w:rsidP="009432B4">
      <w:pPr>
        <w:rPr>
          <w:rFonts w:eastAsia="Times New Roman" w:cstheme="minorHAnsi"/>
          <w:b/>
          <w:bCs/>
          <w:color w:val="4C4C4C"/>
          <w:sz w:val="20"/>
          <w:szCs w:val="20"/>
          <w:lang w:eastAsia="fr-FR"/>
        </w:rPr>
      </w:pPr>
      <w:r w:rsidRPr="00742821">
        <w:rPr>
          <w:rFonts w:eastAsia="Times New Roman" w:cstheme="minorHAnsi"/>
          <w:b/>
          <w:bCs/>
          <w:color w:val="4C4C4C"/>
          <w:sz w:val="20"/>
          <w:szCs w:val="20"/>
          <w:u w:val="single"/>
          <w:bdr w:val="none" w:sz="0" w:space="0" w:color="auto" w:frame="1"/>
          <w:lang w:eastAsia="fr-FR"/>
        </w:rPr>
        <w:t>Seconde résolution :</w:t>
      </w:r>
    </w:p>
    <w:p w:rsidR="00D74703" w:rsidRPr="00742821" w:rsidRDefault="00D74703" w:rsidP="009432B4">
      <w:pPr>
        <w:rPr>
          <w:rFonts w:cstheme="minorHAnsi"/>
          <w:sz w:val="20"/>
          <w:szCs w:val="20"/>
        </w:rPr>
      </w:pPr>
      <w:r w:rsidRPr="00742821">
        <w:rPr>
          <w:rFonts w:cstheme="minorHAnsi"/>
          <w:sz w:val="20"/>
          <w:szCs w:val="20"/>
        </w:rPr>
        <w:t>En conséquence de la première résolution, ladite société est également mise en liquidation volontaire à compter de ce jour. Les pouvoirs de liquidation seront conférés à (détails concernant le liquidateur : nom, prénom, adresse).</w:t>
      </w:r>
    </w:p>
    <w:p w:rsidR="00D74703" w:rsidRPr="00742821" w:rsidRDefault="00D74703" w:rsidP="009432B4">
      <w:pPr>
        <w:rPr>
          <w:rFonts w:cstheme="minorHAnsi"/>
          <w:sz w:val="20"/>
          <w:szCs w:val="20"/>
        </w:rPr>
      </w:pPr>
      <w:r w:rsidRPr="00742821">
        <w:rPr>
          <w:rFonts w:cstheme="minorHAnsi"/>
          <w:sz w:val="20"/>
          <w:szCs w:val="20"/>
        </w:rPr>
        <w:t>Cette résolution ayant été adoptée à l’unanimité.</w:t>
      </w:r>
    </w:p>
    <w:p w:rsidR="00D74703" w:rsidRPr="00742821" w:rsidRDefault="00D74703" w:rsidP="009432B4">
      <w:pPr>
        <w:rPr>
          <w:rFonts w:eastAsia="Times New Roman" w:cstheme="minorHAnsi"/>
          <w:b/>
          <w:bCs/>
          <w:color w:val="4C4C4C"/>
          <w:sz w:val="20"/>
          <w:szCs w:val="20"/>
          <w:lang w:eastAsia="fr-FR"/>
        </w:rPr>
      </w:pPr>
      <w:r w:rsidRPr="00742821">
        <w:rPr>
          <w:rFonts w:eastAsia="Times New Roman" w:cstheme="minorHAnsi"/>
          <w:b/>
          <w:bCs/>
          <w:color w:val="4C4C4C"/>
          <w:sz w:val="20"/>
          <w:szCs w:val="20"/>
          <w:u w:val="single"/>
          <w:bdr w:val="none" w:sz="0" w:space="0" w:color="auto" w:frame="1"/>
          <w:lang w:eastAsia="fr-FR"/>
        </w:rPr>
        <w:t>Troisième résolution :</w:t>
      </w:r>
    </w:p>
    <w:p w:rsidR="00D74703" w:rsidRPr="00742821" w:rsidRDefault="00D74703" w:rsidP="009432B4">
      <w:pPr>
        <w:rPr>
          <w:rFonts w:cstheme="minorHAnsi"/>
          <w:sz w:val="20"/>
          <w:szCs w:val="20"/>
        </w:rPr>
      </w:pPr>
      <w:r w:rsidRPr="00742821">
        <w:rPr>
          <w:rFonts w:cstheme="minorHAnsi"/>
          <w:sz w:val="20"/>
          <w:szCs w:val="20"/>
        </w:rPr>
        <w:t xml:space="preserve">L’assemblé général confère au liquidateur susmentionné les pouvoirs les plus étendus pour l’accomplissement de ces tâches : réaliser les actifs, apurer les passifs et répartir les soldes de liquidation, sous réserve des dispositions des articles L.237-1 du Code de commerce. </w:t>
      </w:r>
    </w:p>
    <w:p w:rsidR="00D74703" w:rsidRPr="00742821" w:rsidRDefault="00D74703" w:rsidP="009432B4">
      <w:pPr>
        <w:rPr>
          <w:rFonts w:cstheme="minorHAnsi"/>
          <w:sz w:val="20"/>
          <w:szCs w:val="20"/>
        </w:rPr>
      </w:pPr>
      <w:r w:rsidRPr="00742821">
        <w:rPr>
          <w:rFonts w:cstheme="minorHAnsi"/>
          <w:sz w:val="20"/>
          <w:szCs w:val="20"/>
        </w:rPr>
        <w:t>Cette résolution ayant été adoptée à l’unanimité.</w:t>
      </w:r>
    </w:p>
    <w:p w:rsidR="00D74703" w:rsidRPr="00742821" w:rsidRDefault="00D74703" w:rsidP="009432B4">
      <w:pPr>
        <w:rPr>
          <w:rFonts w:eastAsia="Times New Roman" w:cstheme="minorHAnsi"/>
          <w:b/>
          <w:bCs/>
          <w:color w:val="4C4C4C"/>
          <w:sz w:val="20"/>
          <w:szCs w:val="20"/>
          <w:lang w:eastAsia="fr-FR"/>
        </w:rPr>
      </w:pPr>
      <w:r w:rsidRPr="00742821">
        <w:rPr>
          <w:rFonts w:eastAsia="Times New Roman" w:cstheme="minorHAnsi"/>
          <w:b/>
          <w:bCs/>
          <w:color w:val="4C4C4C"/>
          <w:sz w:val="20"/>
          <w:szCs w:val="20"/>
          <w:u w:val="single"/>
          <w:bdr w:val="none" w:sz="0" w:space="0" w:color="auto" w:frame="1"/>
          <w:lang w:eastAsia="fr-FR"/>
        </w:rPr>
        <w:t>Quatrième résolution :</w:t>
      </w:r>
    </w:p>
    <w:p w:rsidR="00D74703" w:rsidRPr="00742821" w:rsidRDefault="00D74703" w:rsidP="009432B4">
      <w:pPr>
        <w:rPr>
          <w:rFonts w:cstheme="minorHAnsi"/>
          <w:sz w:val="20"/>
          <w:szCs w:val="20"/>
        </w:rPr>
      </w:pPr>
      <w:r w:rsidRPr="00742821">
        <w:rPr>
          <w:rFonts w:cstheme="minorHAnsi"/>
          <w:sz w:val="20"/>
          <w:szCs w:val="20"/>
        </w:rPr>
        <w:t>Tous pouvoirs sont attribués au porteur d’un original ou d’une copie certifié du présent document pour effectuer les dépôts et accomplir les formalités de dissolutions prescrites par la loi. Cette résolution ayant été adoptée à l’unanimité.</w:t>
      </w:r>
    </w:p>
    <w:p w:rsidR="00D74703" w:rsidRPr="00742821" w:rsidRDefault="00D74703" w:rsidP="009432B4">
      <w:pPr>
        <w:rPr>
          <w:rFonts w:eastAsia="Times New Roman" w:cstheme="minorHAnsi"/>
          <w:sz w:val="20"/>
          <w:szCs w:val="20"/>
          <w:lang w:eastAsia="fr-FR"/>
        </w:rPr>
      </w:pPr>
      <w:r w:rsidRPr="00742821">
        <w:rPr>
          <w:rFonts w:eastAsia="Times New Roman" w:cstheme="minorHAnsi"/>
          <w:sz w:val="20"/>
          <w:szCs w:val="20"/>
          <w:lang w:eastAsia="fr-FR"/>
        </w:rPr>
        <w:t>Plus rien d’autre n’est à l’ordre du jour</w:t>
      </w:r>
    </w:p>
    <w:p w:rsidR="00D74703" w:rsidRPr="00742821" w:rsidRDefault="00D74703" w:rsidP="009432B4">
      <w:pPr>
        <w:rPr>
          <w:rFonts w:eastAsia="Times New Roman" w:cstheme="minorHAnsi"/>
          <w:sz w:val="20"/>
          <w:szCs w:val="20"/>
          <w:lang w:eastAsia="fr-FR"/>
        </w:rPr>
      </w:pPr>
      <w:r w:rsidRPr="00742821">
        <w:rPr>
          <w:rFonts w:eastAsia="Times New Roman" w:cstheme="minorHAnsi"/>
          <w:b/>
          <w:bCs/>
          <w:sz w:val="20"/>
          <w:szCs w:val="20"/>
          <w:lang w:eastAsia="fr-FR"/>
        </w:rPr>
        <w:t>L’associé unique (nom à préciser)</w:t>
      </w:r>
    </w:p>
    <w:p w:rsidR="00D74703" w:rsidRPr="00742821" w:rsidRDefault="00D74703" w:rsidP="009432B4">
      <w:pPr>
        <w:rPr>
          <w:rFonts w:cstheme="minorHAnsi"/>
          <w:sz w:val="20"/>
          <w:szCs w:val="20"/>
        </w:rPr>
      </w:pPr>
      <w:r w:rsidRPr="00742821">
        <w:rPr>
          <w:rFonts w:eastAsia="Times New Roman" w:cstheme="minorHAnsi"/>
          <w:b/>
          <w:bCs/>
          <w:sz w:val="20"/>
          <w:szCs w:val="20"/>
          <w:lang w:eastAsia="fr-FR"/>
        </w:rPr>
        <w:t>Signature</w:t>
      </w:r>
    </w:p>
    <w:p w:rsidR="0012740C" w:rsidRPr="00742821" w:rsidRDefault="0012740C" w:rsidP="009432B4">
      <w:pPr>
        <w:rPr>
          <w:rFonts w:cstheme="minorHAnsi"/>
          <w:sz w:val="20"/>
          <w:szCs w:val="20"/>
        </w:rPr>
      </w:pPr>
      <w:bookmarkStart w:id="0" w:name="_GoBack"/>
      <w:bookmarkEnd w:id="0"/>
    </w:p>
    <w:sectPr w:rsidR="0012740C" w:rsidRPr="00742821">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605" w:rsidRDefault="00501605" w:rsidP="00742821">
      <w:pPr>
        <w:spacing w:after="0" w:line="240" w:lineRule="auto"/>
      </w:pPr>
      <w:r>
        <w:separator/>
      </w:r>
    </w:p>
  </w:endnote>
  <w:endnote w:type="continuationSeparator" w:id="0">
    <w:p w:rsidR="00501605" w:rsidRDefault="00501605" w:rsidP="00742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821" w:rsidRDefault="00742821" w:rsidP="00742821">
    <w:pPr>
      <w:tabs>
        <w:tab w:val="left" w:pos="1701"/>
        <w:tab w:val="right" w:pos="9072"/>
      </w:tabs>
      <w:ind w:firstLine="1701"/>
    </w:pPr>
    <w:r>
      <w:rPr>
        <w:noProof/>
      </w:rPr>
      <w:drawing>
        <wp:anchor distT="0" distB="0" distL="114300" distR="114300" simplePos="0" relativeHeight="251660288" behindDoc="1" locked="0" layoutInCell="1" allowOverlap="1">
          <wp:simplePos x="0" y="0"/>
          <wp:positionH relativeFrom="column">
            <wp:posOffset>3443605</wp:posOffset>
          </wp:positionH>
          <wp:positionV relativeFrom="paragraph">
            <wp:posOffset>13335</wp:posOffset>
          </wp:positionV>
          <wp:extent cx="985520" cy="182880"/>
          <wp:effectExtent l="0" t="0" r="508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182880"/>
                  </a:xfrm>
                  <a:prstGeom prst="rect">
                    <a:avLst/>
                  </a:prstGeom>
                  <a:noFill/>
                </pic:spPr>
              </pic:pic>
            </a:graphicData>
          </a:graphic>
          <wp14:sizeRelH relativeFrom="page">
            <wp14:pctWidth>0</wp14:pctWidth>
          </wp14:sizeRelH>
          <wp14:sizeRelV relativeFrom="page">
            <wp14:pctHeight>0</wp14:pctHeight>
          </wp14:sizeRelV>
        </wp:anchor>
      </w:drawing>
    </w:r>
    <w:r>
      <w:t>Document simplifié mis à disposition par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605" w:rsidRDefault="00501605" w:rsidP="00742821">
      <w:pPr>
        <w:spacing w:after="0" w:line="240" w:lineRule="auto"/>
      </w:pPr>
      <w:r>
        <w:separator/>
      </w:r>
    </w:p>
  </w:footnote>
  <w:footnote w:type="continuationSeparator" w:id="0">
    <w:p w:rsidR="00501605" w:rsidRDefault="00501605" w:rsidP="00742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821" w:rsidRDefault="00742821" w:rsidP="00742821">
    <w:pPr>
      <w:tabs>
        <w:tab w:val="left" w:pos="1701"/>
        <w:tab w:val="right" w:pos="9072"/>
      </w:tabs>
      <w:ind w:firstLine="1701"/>
    </w:pPr>
    <w:r>
      <w:rPr>
        <w:noProof/>
      </w:rPr>
      <w:drawing>
        <wp:anchor distT="0" distB="0" distL="114300" distR="114300" simplePos="0" relativeHeight="251658240" behindDoc="1" locked="0" layoutInCell="1" allowOverlap="1">
          <wp:simplePos x="0" y="0"/>
          <wp:positionH relativeFrom="column">
            <wp:posOffset>3443605</wp:posOffset>
          </wp:positionH>
          <wp:positionV relativeFrom="paragraph">
            <wp:posOffset>13335</wp:posOffset>
          </wp:positionV>
          <wp:extent cx="985520" cy="182880"/>
          <wp:effectExtent l="0" t="0" r="508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5520" cy="182880"/>
                  </a:xfrm>
                  <a:prstGeom prst="rect">
                    <a:avLst/>
                  </a:prstGeom>
                  <a:noFill/>
                </pic:spPr>
              </pic:pic>
            </a:graphicData>
          </a:graphic>
          <wp14:sizeRelH relativeFrom="page">
            <wp14:pctWidth>0</wp14:pctWidth>
          </wp14:sizeRelH>
          <wp14:sizeRelV relativeFrom="page">
            <wp14:pctHeight>0</wp14:pctHeight>
          </wp14:sizeRelV>
        </wp:anchor>
      </w:drawing>
    </w:r>
    <w:r>
      <w:t>Document simplifié mis à disposition par</w:t>
    </w:r>
  </w:p>
  <w:p w:rsidR="00742821" w:rsidRDefault="00742821">
    <w:pPr>
      <w:pStyle w:val="En-tte"/>
    </w:pPr>
  </w:p>
  <w:p w:rsidR="00742821" w:rsidRDefault="0074282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703"/>
    <w:rsid w:val="0012740C"/>
    <w:rsid w:val="00501605"/>
    <w:rsid w:val="00742821"/>
    <w:rsid w:val="009432B4"/>
    <w:rsid w:val="00D747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88F8BB"/>
  <w15:chartTrackingRefBased/>
  <w15:docId w15:val="{352EC7E7-517A-4A12-823F-C26F3FCC3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703"/>
  </w:style>
  <w:style w:type="paragraph" w:styleId="Titre2">
    <w:name w:val="heading 2"/>
    <w:basedOn w:val="Normal"/>
    <w:next w:val="Normal"/>
    <w:link w:val="Titre2Car"/>
    <w:uiPriority w:val="9"/>
    <w:unhideWhenUsed/>
    <w:qFormat/>
    <w:rsid w:val="009432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9432B4"/>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742821"/>
    <w:pPr>
      <w:tabs>
        <w:tab w:val="center" w:pos="4536"/>
        <w:tab w:val="right" w:pos="9072"/>
      </w:tabs>
      <w:spacing w:after="0" w:line="240" w:lineRule="auto"/>
    </w:pPr>
  </w:style>
  <w:style w:type="character" w:customStyle="1" w:styleId="En-tteCar">
    <w:name w:val="En-tête Car"/>
    <w:basedOn w:val="Policepardfaut"/>
    <w:link w:val="En-tte"/>
    <w:uiPriority w:val="99"/>
    <w:rsid w:val="00742821"/>
  </w:style>
  <w:style w:type="paragraph" w:styleId="Pieddepage">
    <w:name w:val="footer"/>
    <w:basedOn w:val="Normal"/>
    <w:link w:val="PieddepageCar"/>
    <w:uiPriority w:val="99"/>
    <w:unhideWhenUsed/>
    <w:rsid w:val="0074282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2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1200090">
      <w:bodyDiv w:val="1"/>
      <w:marLeft w:val="0"/>
      <w:marRight w:val="0"/>
      <w:marTop w:val="0"/>
      <w:marBottom w:val="0"/>
      <w:divBdr>
        <w:top w:val="none" w:sz="0" w:space="0" w:color="auto"/>
        <w:left w:val="none" w:sz="0" w:space="0" w:color="auto"/>
        <w:bottom w:val="none" w:sz="0" w:space="0" w:color="auto"/>
        <w:right w:val="none" w:sz="0" w:space="0" w:color="auto"/>
      </w:divBdr>
    </w:div>
    <w:div w:id="210097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1452</Characters>
  <Application>Microsoft Office Word</Application>
  <DocSecurity>0</DocSecurity>
  <Lines>12</Lines>
  <Paragraphs>3</Paragraphs>
  <ScaleCrop>false</ScaleCrop>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Haingo</dc:creator>
  <cp:keywords/>
  <dc:description/>
  <cp:lastModifiedBy>Louise Roblot</cp:lastModifiedBy>
  <cp:revision>3</cp:revision>
  <dcterms:created xsi:type="dcterms:W3CDTF">2019-08-01T08:43:00Z</dcterms:created>
  <dcterms:modified xsi:type="dcterms:W3CDTF">2020-01-14T11:18:00Z</dcterms:modified>
</cp:coreProperties>
</file>