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1542"/>
        <w:tblW w:w="158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45"/>
        <w:gridCol w:w="5826"/>
        <w:gridCol w:w="1187"/>
        <w:gridCol w:w="945"/>
        <w:gridCol w:w="5232"/>
        <w:gridCol w:w="1175"/>
        <w:gridCol w:w="571"/>
      </w:tblGrid>
      <w:tr w:rsidR="001F7C69" w:rsidRPr="003821B8" w14:paraId="7F7C3B4F" w14:textId="77777777" w:rsidTr="001F7C69">
        <w:trPr>
          <w:trHeight w:val="780"/>
        </w:trPr>
        <w:tc>
          <w:tcPr>
            <w:tcW w:w="7958" w:type="dxa"/>
            <w:gridSpan w:val="3"/>
            <w:shd w:val="clear" w:color="auto" w:fill="2A4E7E"/>
            <w:vAlign w:val="center"/>
          </w:tcPr>
          <w:p w14:paraId="6E6D742C" w14:textId="77777777" w:rsidR="001F7C69" w:rsidRPr="003821B8" w:rsidRDefault="001F7C69" w:rsidP="001F7C69">
            <w:pPr>
              <w:jc w:val="center"/>
              <w:rPr>
                <w:rFonts w:ascii="Circular Std Bold" w:hAnsi="Circular Std Bold" w:cs="Circular Std Bold"/>
                <w:color w:val="FFFFFF" w:themeColor="background1"/>
                <w:sz w:val="28"/>
                <w:szCs w:val="28"/>
              </w:rPr>
            </w:pPr>
            <w:r w:rsidRPr="003821B8">
              <w:rPr>
                <w:rFonts w:ascii="Circular Std Bold" w:hAnsi="Circular Std Bold" w:cs="Circular Std Bold"/>
                <w:color w:val="FFFFFF" w:themeColor="background1"/>
                <w:sz w:val="28"/>
                <w:szCs w:val="28"/>
              </w:rPr>
              <w:t>ACTIF</w:t>
            </w:r>
          </w:p>
          <w:p w14:paraId="780E9BF7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  <w:color w:val="FFFFFF" w:themeColor="background1"/>
              </w:rPr>
            </w:pPr>
            <w:r w:rsidRPr="003821B8">
              <w:rPr>
                <w:rFonts w:ascii="Circular Std Medium" w:hAnsi="Circular Std Medium" w:cs="Circular Std Medium"/>
                <w:color w:val="FFFFFF" w:themeColor="background1"/>
              </w:rPr>
              <w:t>Richesses détenues à un instant donné par l’association</w:t>
            </w:r>
          </w:p>
        </w:tc>
        <w:tc>
          <w:tcPr>
            <w:tcW w:w="7352" w:type="dxa"/>
            <w:gridSpan w:val="3"/>
            <w:shd w:val="clear" w:color="auto" w:fill="2A4E7E"/>
            <w:vAlign w:val="center"/>
          </w:tcPr>
          <w:p w14:paraId="638246CB" w14:textId="77777777" w:rsidR="001F7C69" w:rsidRPr="003821B8" w:rsidRDefault="001F7C69" w:rsidP="001F7C69">
            <w:pPr>
              <w:jc w:val="center"/>
              <w:rPr>
                <w:rFonts w:ascii="Circular Std Bold" w:hAnsi="Circular Std Bold" w:cs="Circular Std Bold"/>
                <w:color w:val="FFFFFF" w:themeColor="background1"/>
              </w:rPr>
            </w:pPr>
            <w:r w:rsidRPr="003821B8">
              <w:rPr>
                <w:rFonts w:ascii="Circular Std Bold" w:hAnsi="Circular Std Bold" w:cs="Circular Std Bold"/>
                <w:color w:val="FFFFFF" w:themeColor="background1"/>
                <w:sz w:val="28"/>
                <w:szCs w:val="28"/>
              </w:rPr>
              <w:t>PASSIF</w:t>
            </w:r>
          </w:p>
          <w:p w14:paraId="17E2C186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  <w:color w:val="FFFFFF" w:themeColor="background1"/>
              </w:rPr>
            </w:pPr>
            <w:r w:rsidRPr="003821B8">
              <w:rPr>
                <w:rFonts w:ascii="Circular Std Medium" w:hAnsi="Circular Std Medium" w:cs="Circular Std Medium"/>
                <w:color w:val="FFFFFF" w:themeColor="background1"/>
              </w:rPr>
              <w:t>Origine des richesses de l’association (source</w:t>
            </w:r>
            <w:r>
              <w:rPr>
                <w:rFonts w:ascii="Circular Std Medium" w:hAnsi="Circular Std Medium" w:cs="Circular Std Medium"/>
                <w:color w:val="FFFFFF" w:themeColor="background1"/>
              </w:rPr>
              <w:t>s</w:t>
            </w:r>
            <w:r w:rsidRPr="003821B8">
              <w:rPr>
                <w:rFonts w:ascii="Circular Std Medium" w:hAnsi="Circular Std Medium" w:cs="Circular Std Medium"/>
                <w:color w:val="FFFFFF" w:themeColor="background1"/>
              </w:rPr>
              <w:t xml:space="preserve"> de financement)</w:t>
            </w:r>
          </w:p>
        </w:tc>
        <w:tc>
          <w:tcPr>
            <w:tcW w:w="571" w:type="dxa"/>
            <w:shd w:val="clear" w:color="auto" w:fill="2A4E7E"/>
            <w:vAlign w:val="center"/>
          </w:tcPr>
          <w:p w14:paraId="7126FB1B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  <w:color w:val="FFFFFF" w:themeColor="background1"/>
              </w:rPr>
            </w:pPr>
          </w:p>
        </w:tc>
      </w:tr>
      <w:tr w:rsidR="001F7C69" w:rsidRPr="003821B8" w14:paraId="02DB1C52" w14:textId="77777777" w:rsidTr="001F7C69">
        <w:trPr>
          <w:trHeight w:val="312"/>
        </w:trPr>
        <w:tc>
          <w:tcPr>
            <w:tcW w:w="945" w:type="dxa"/>
            <w:vAlign w:val="center"/>
          </w:tcPr>
          <w:p w14:paraId="5BFC3351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Classe</w:t>
            </w:r>
          </w:p>
        </w:tc>
        <w:tc>
          <w:tcPr>
            <w:tcW w:w="5826" w:type="dxa"/>
            <w:vAlign w:val="center"/>
          </w:tcPr>
          <w:p w14:paraId="7549A0BC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1187" w:type="dxa"/>
            <w:vAlign w:val="center"/>
          </w:tcPr>
          <w:p w14:paraId="24A8453C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Montant</w:t>
            </w:r>
          </w:p>
        </w:tc>
        <w:tc>
          <w:tcPr>
            <w:tcW w:w="945" w:type="dxa"/>
            <w:vAlign w:val="center"/>
          </w:tcPr>
          <w:p w14:paraId="6674C8DD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Classe</w:t>
            </w:r>
          </w:p>
        </w:tc>
        <w:tc>
          <w:tcPr>
            <w:tcW w:w="5232" w:type="dxa"/>
            <w:vAlign w:val="center"/>
          </w:tcPr>
          <w:p w14:paraId="294ABDB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1175" w:type="dxa"/>
            <w:vAlign w:val="center"/>
          </w:tcPr>
          <w:p w14:paraId="335D2A37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Montant</w:t>
            </w:r>
          </w:p>
        </w:tc>
        <w:tc>
          <w:tcPr>
            <w:tcW w:w="571" w:type="dxa"/>
            <w:vMerge w:val="restart"/>
            <w:textDirection w:val="tbRl"/>
            <w:vAlign w:val="center"/>
          </w:tcPr>
          <w:p w14:paraId="182948D0" w14:textId="77777777" w:rsidR="001F7C69" w:rsidRPr="003821B8" w:rsidRDefault="001F7C69" w:rsidP="001F7C69">
            <w:pPr>
              <w:ind w:left="113" w:right="113"/>
              <w:jc w:val="center"/>
              <w:rPr>
                <w:rFonts w:ascii="Circular Std Medium" w:hAnsi="Circular Std Medium" w:cs="Circular Std Medium"/>
                <w:sz w:val="18"/>
                <w:szCs w:val="18"/>
              </w:rPr>
            </w:pPr>
            <w:r w:rsidRPr="003821B8">
              <w:rPr>
                <w:rFonts w:ascii="Circular Std Medium" w:hAnsi="Circular Std Medium" w:cs="Circular Std Medium"/>
                <w:sz w:val="18"/>
                <w:szCs w:val="18"/>
              </w:rPr>
              <w:t>Capitaux permanents (ressources durables</w:t>
            </w:r>
            <w:r>
              <w:rPr>
                <w:rFonts w:ascii="Circular Std Medium" w:hAnsi="Circular Std Medium" w:cs="Circular Std Medium"/>
                <w:sz w:val="18"/>
                <w:szCs w:val="18"/>
              </w:rPr>
              <w:t xml:space="preserve"> de l’association)</w:t>
            </w:r>
          </w:p>
        </w:tc>
      </w:tr>
      <w:tr w:rsidR="001F7C69" w:rsidRPr="003821B8" w14:paraId="107E6CFC" w14:textId="77777777" w:rsidTr="001F7C69">
        <w:trPr>
          <w:trHeight w:val="364"/>
        </w:trPr>
        <w:tc>
          <w:tcPr>
            <w:tcW w:w="945" w:type="dxa"/>
            <w:shd w:val="clear" w:color="auto" w:fill="8DB3E2" w:themeFill="text2" w:themeFillTint="66"/>
            <w:vAlign w:val="center"/>
          </w:tcPr>
          <w:p w14:paraId="2ADA379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2</w:t>
            </w:r>
          </w:p>
        </w:tc>
        <w:tc>
          <w:tcPr>
            <w:tcW w:w="5826" w:type="dxa"/>
            <w:shd w:val="clear" w:color="auto" w:fill="8DB3E2" w:themeFill="text2" w:themeFillTint="66"/>
            <w:vAlign w:val="center"/>
          </w:tcPr>
          <w:p w14:paraId="1092EEAE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Immobilisations</w:t>
            </w:r>
          </w:p>
        </w:tc>
        <w:tc>
          <w:tcPr>
            <w:tcW w:w="1187" w:type="dxa"/>
            <w:shd w:val="clear" w:color="auto" w:fill="8DB3E2" w:themeFill="text2" w:themeFillTint="66"/>
            <w:vAlign w:val="center"/>
          </w:tcPr>
          <w:p w14:paraId="6FDB3F6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shd w:val="clear" w:color="auto" w:fill="8DB3E2" w:themeFill="text2" w:themeFillTint="66"/>
            <w:vAlign w:val="center"/>
          </w:tcPr>
          <w:p w14:paraId="491B78F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</w:t>
            </w:r>
          </w:p>
        </w:tc>
        <w:tc>
          <w:tcPr>
            <w:tcW w:w="5232" w:type="dxa"/>
            <w:shd w:val="clear" w:color="auto" w:fill="8DB3E2" w:themeFill="text2" w:themeFillTint="66"/>
            <w:vAlign w:val="center"/>
          </w:tcPr>
          <w:p w14:paraId="3DFC0747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Capitaux propres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08AFF21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60E6C77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5BD8F46F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5D27A9BB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55A74EE3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Biens durables (&gt;1 an) propriété de l’association</w:t>
            </w:r>
          </w:p>
        </w:tc>
        <w:tc>
          <w:tcPr>
            <w:tcW w:w="1187" w:type="dxa"/>
            <w:vAlign w:val="center"/>
          </w:tcPr>
          <w:p w14:paraId="0E8A402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68CB919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10</w:t>
            </w:r>
          </w:p>
        </w:tc>
        <w:tc>
          <w:tcPr>
            <w:tcW w:w="5232" w:type="dxa"/>
            <w:vAlign w:val="center"/>
          </w:tcPr>
          <w:p w14:paraId="649C8ED7" w14:textId="77777777" w:rsidR="001F7C69" w:rsidRPr="00CF5147" w:rsidRDefault="001F7C69" w:rsidP="001F7C69">
            <w:pPr>
              <w:jc w:val="left"/>
              <w:rPr>
                <w:rFonts w:ascii="Circular Std Medium" w:hAnsi="Circular Std Medium" w:cs="Circular Std Medium"/>
                <w:sz w:val="20"/>
                <w:szCs w:val="20"/>
              </w:rPr>
            </w:pPr>
            <w:r w:rsidRPr="00CF5147">
              <w:rPr>
                <w:rFonts w:ascii="Circular Std Medium" w:hAnsi="Circular Std Medium" w:cs="Circular Std Medium"/>
                <w:sz w:val="20"/>
                <w:szCs w:val="20"/>
              </w:rPr>
              <w:t>Capital ou Fonds associatif (apport des fondateurs de l’association) et subventions non renouvelables</w:t>
            </w:r>
            <w:r>
              <w:rPr>
                <w:rFonts w:ascii="Circular Std Medium" w:hAnsi="Circular Std Medium" w:cs="Circular Std Medium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14:paraId="6520B12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323950AE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61CEA6EC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2D261C4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20</w:t>
            </w:r>
          </w:p>
        </w:tc>
        <w:tc>
          <w:tcPr>
            <w:tcW w:w="5826" w:type="dxa"/>
            <w:vAlign w:val="center"/>
          </w:tcPr>
          <w:p w14:paraId="2A1743A8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Immobilisations incorporelles non amortissables (fonds de commerce, brevets, licences)</w:t>
            </w:r>
          </w:p>
        </w:tc>
        <w:tc>
          <w:tcPr>
            <w:tcW w:w="1187" w:type="dxa"/>
            <w:vAlign w:val="center"/>
          </w:tcPr>
          <w:p w14:paraId="598B4D8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502A61E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11</w:t>
            </w:r>
          </w:p>
        </w:tc>
        <w:tc>
          <w:tcPr>
            <w:tcW w:w="5232" w:type="dxa"/>
            <w:vAlign w:val="center"/>
          </w:tcPr>
          <w:p w14:paraId="04F9B7CE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Report à nouveau (résultats antérieurs en réserve)</w:t>
            </w:r>
          </w:p>
        </w:tc>
        <w:tc>
          <w:tcPr>
            <w:tcW w:w="1175" w:type="dxa"/>
            <w:vAlign w:val="center"/>
          </w:tcPr>
          <w:p w14:paraId="7B0CFCC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3C494451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112C9FF7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4FE6A13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21</w:t>
            </w:r>
          </w:p>
        </w:tc>
        <w:tc>
          <w:tcPr>
            <w:tcW w:w="5826" w:type="dxa"/>
            <w:vAlign w:val="center"/>
          </w:tcPr>
          <w:p w14:paraId="5DC3DA5A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Immobilisations corporelles amortissables (immobilier, mobilier)</w:t>
            </w:r>
          </w:p>
        </w:tc>
        <w:tc>
          <w:tcPr>
            <w:tcW w:w="1187" w:type="dxa"/>
            <w:vAlign w:val="center"/>
          </w:tcPr>
          <w:p w14:paraId="3D9C95F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3B314A4B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12</w:t>
            </w:r>
          </w:p>
        </w:tc>
        <w:tc>
          <w:tcPr>
            <w:tcW w:w="5232" w:type="dxa"/>
            <w:vAlign w:val="center"/>
          </w:tcPr>
          <w:p w14:paraId="6CFBEFDE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Résultat du dernier exercice (positif ou négatif)</w:t>
            </w:r>
          </w:p>
        </w:tc>
        <w:tc>
          <w:tcPr>
            <w:tcW w:w="1175" w:type="dxa"/>
            <w:vAlign w:val="center"/>
          </w:tcPr>
          <w:p w14:paraId="182E029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38257CAC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2E84100F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7801732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27</w:t>
            </w:r>
          </w:p>
        </w:tc>
        <w:tc>
          <w:tcPr>
            <w:tcW w:w="5826" w:type="dxa"/>
            <w:vAlign w:val="center"/>
          </w:tcPr>
          <w:p w14:paraId="6AABE115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Immobilisations financières (actions, obligations et cautions)</w:t>
            </w:r>
          </w:p>
        </w:tc>
        <w:tc>
          <w:tcPr>
            <w:tcW w:w="1187" w:type="dxa"/>
            <w:vAlign w:val="center"/>
          </w:tcPr>
          <w:p w14:paraId="5EE6BFC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5557939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13</w:t>
            </w:r>
          </w:p>
        </w:tc>
        <w:tc>
          <w:tcPr>
            <w:tcW w:w="5232" w:type="dxa"/>
            <w:vAlign w:val="center"/>
          </w:tcPr>
          <w:p w14:paraId="1BC55249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Subventions d’investissement renouvelables (accordées pour l’achat d’un bien dont le renouvellement sera assuré par le financeur)</w:t>
            </w:r>
          </w:p>
        </w:tc>
        <w:tc>
          <w:tcPr>
            <w:tcW w:w="1175" w:type="dxa"/>
            <w:vAlign w:val="center"/>
          </w:tcPr>
          <w:p w14:paraId="7BF272DD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1F2D78E8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764A0BA0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1B68D6A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28</w:t>
            </w:r>
          </w:p>
        </w:tc>
        <w:tc>
          <w:tcPr>
            <w:tcW w:w="5826" w:type="dxa"/>
            <w:vAlign w:val="center"/>
          </w:tcPr>
          <w:p w14:paraId="1FFECDC2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Amortissement des immobilisations</w:t>
            </w:r>
          </w:p>
        </w:tc>
        <w:tc>
          <w:tcPr>
            <w:tcW w:w="1187" w:type="dxa"/>
            <w:vAlign w:val="center"/>
          </w:tcPr>
          <w:p w14:paraId="0D285B3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603F978E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02A60F3C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75" w:type="dxa"/>
            <w:vAlign w:val="center"/>
          </w:tcPr>
          <w:p w14:paraId="37A332CF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0AE10A0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76841EEB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11ACE09B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303147F1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87" w:type="dxa"/>
            <w:vAlign w:val="center"/>
          </w:tcPr>
          <w:p w14:paraId="6DA1B3C7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6F7AC137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15</w:t>
            </w:r>
          </w:p>
        </w:tc>
        <w:tc>
          <w:tcPr>
            <w:tcW w:w="5232" w:type="dxa"/>
            <w:vAlign w:val="center"/>
          </w:tcPr>
          <w:p w14:paraId="535358C9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Provisions pour risques et charges</w:t>
            </w:r>
          </w:p>
        </w:tc>
        <w:tc>
          <w:tcPr>
            <w:tcW w:w="1175" w:type="dxa"/>
            <w:vAlign w:val="center"/>
          </w:tcPr>
          <w:p w14:paraId="3F81EFF6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76DF7B2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76EC2A12" w14:textId="77777777" w:rsidTr="001F7C69">
        <w:trPr>
          <w:trHeight w:val="364"/>
        </w:trPr>
        <w:tc>
          <w:tcPr>
            <w:tcW w:w="945" w:type="dxa"/>
            <w:shd w:val="clear" w:color="auto" w:fill="8DB3E2" w:themeFill="text2" w:themeFillTint="66"/>
            <w:vAlign w:val="center"/>
          </w:tcPr>
          <w:p w14:paraId="45A30D8A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3</w:t>
            </w:r>
          </w:p>
        </w:tc>
        <w:tc>
          <w:tcPr>
            <w:tcW w:w="5826" w:type="dxa"/>
            <w:shd w:val="clear" w:color="auto" w:fill="8DB3E2" w:themeFill="text2" w:themeFillTint="66"/>
            <w:vAlign w:val="center"/>
          </w:tcPr>
          <w:p w14:paraId="1B4B3DD4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Stocks</w:t>
            </w:r>
          </w:p>
        </w:tc>
        <w:tc>
          <w:tcPr>
            <w:tcW w:w="1187" w:type="dxa"/>
            <w:shd w:val="clear" w:color="auto" w:fill="8DB3E2" w:themeFill="text2" w:themeFillTint="66"/>
            <w:vAlign w:val="center"/>
          </w:tcPr>
          <w:p w14:paraId="308FA79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121C05F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16</w:t>
            </w:r>
          </w:p>
        </w:tc>
        <w:tc>
          <w:tcPr>
            <w:tcW w:w="5232" w:type="dxa"/>
            <w:vAlign w:val="center"/>
          </w:tcPr>
          <w:p w14:paraId="581DDFF2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Emprunts à moyen et long terme (EMLT &gt; 1 an)</w:t>
            </w:r>
          </w:p>
        </w:tc>
        <w:tc>
          <w:tcPr>
            <w:tcW w:w="1175" w:type="dxa"/>
            <w:vAlign w:val="center"/>
          </w:tcPr>
          <w:p w14:paraId="0D25337D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6734FD7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26DB6458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5D16FA0F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558405A9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Marchandises, matières premières</w:t>
            </w:r>
          </w:p>
        </w:tc>
        <w:tc>
          <w:tcPr>
            <w:tcW w:w="1187" w:type="dxa"/>
            <w:vAlign w:val="center"/>
          </w:tcPr>
          <w:p w14:paraId="44DA1A08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7E25857C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19</w:t>
            </w:r>
          </w:p>
        </w:tc>
        <w:tc>
          <w:tcPr>
            <w:tcW w:w="5232" w:type="dxa"/>
            <w:vAlign w:val="center"/>
          </w:tcPr>
          <w:p w14:paraId="007EEB6C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Fonds dédiés (ressources financières non encore utilisées : subventions, donations, legs)</w:t>
            </w:r>
          </w:p>
        </w:tc>
        <w:tc>
          <w:tcPr>
            <w:tcW w:w="1175" w:type="dxa"/>
            <w:vAlign w:val="center"/>
          </w:tcPr>
          <w:p w14:paraId="201A4E0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2C2F1F9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6EA3F0E9" w14:textId="77777777" w:rsidTr="001F7C69">
        <w:trPr>
          <w:trHeight w:val="261"/>
        </w:trPr>
        <w:tc>
          <w:tcPr>
            <w:tcW w:w="945" w:type="dxa"/>
            <w:vAlign w:val="center"/>
          </w:tcPr>
          <w:p w14:paraId="49A5518F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6636A504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87" w:type="dxa"/>
            <w:vAlign w:val="center"/>
          </w:tcPr>
          <w:p w14:paraId="5965665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2212FF6E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4DDDD5CF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75" w:type="dxa"/>
            <w:vAlign w:val="center"/>
          </w:tcPr>
          <w:p w14:paraId="52603E8A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514C13E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1ED418D1" w14:textId="77777777" w:rsidTr="001F7C69">
        <w:trPr>
          <w:trHeight w:val="364"/>
        </w:trPr>
        <w:tc>
          <w:tcPr>
            <w:tcW w:w="945" w:type="dxa"/>
            <w:shd w:val="clear" w:color="auto" w:fill="8DB3E2" w:themeFill="text2" w:themeFillTint="66"/>
            <w:vAlign w:val="center"/>
          </w:tcPr>
          <w:p w14:paraId="225E07BE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4</w:t>
            </w:r>
          </w:p>
        </w:tc>
        <w:tc>
          <w:tcPr>
            <w:tcW w:w="5826" w:type="dxa"/>
            <w:shd w:val="clear" w:color="auto" w:fill="8DB3E2" w:themeFill="text2" w:themeFillTint="66"/>
            <w:vAlign w:val="center"/>
          </w:tcPr>
          <w:p w14:paraId="0C5BC97C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Créances</w:t>
            </w:r>
          </w:p>
        </w:tc>
        <w:tc>
          <w:tcPr>
            <w:tcW w:w="1187" w:type="dxa"/>
            <w:shd w:val="clear" w:color="auto" w:fill="8DB3E2" w:themeFill="text2" w:themeFillTint="66"/>
            <w:vAlign w:val="center"/>
          </w:tcPr>
          <w:p w14:paraId="384D5C2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shd w:val="clear" w:color="auto" w:fill="8DB3E2" w:themeFill="text2" w:themeFillTint="66"/>
            <w:vAlign w:val="center"/>
          </w:tcPr>
          <w:p w14:paraId="0AD4662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4</w:t>
            </w:r>
          </w:p>
        </w:tc>
        <w:tc>
          <w:tcPr>
            <w:tcW w:w="5232" w:type="dxa"/>
            <w:shd w:val="clear" w:color="auto" w:fill="8DB3E2" w:themeFill="text2" w:themeFillTint="66"/>
            <w:vAlign w:val="center"/>
          </w:tcPr>
          <w:p w14:paraId="115F01C4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Comptes de tiers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04D386C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 w:val="restart"/>
            <w:textDirection w:val="tbRl"/>
            <w:vAlign w:val="center"/>
          </w:tcPr>
          <w:p w14:paraId="41E5900D" w14:textId="77777777" w:rsidR="001F7C69" w:rsidRPr="00313491" w:rsidRDefault="001F7C69" w:rsidP="001F7C69">
            <w:pPr>
              <w:ind w:left="113" w:right="113"/>
              <w:jc w:val="center"/>
              <w:rPr>
                <w:rFonts w:ascii="Circular Std Medium" w:hAnsi="Circular Std Medium" w:cs="Circular Std Medium"/>
                <w:sz w:val="18"/>
                <w:szCs w:val="18"/>
              </w:rPr>
            </w:pPr>
            <w:r>
              <w:rPr>
                <w:rFonts w:ascii="Circular Std Medium" w:hAnsi="Circular Std Medium" w:cs="Circular Std Medium"/>
                <w:sz w:val="18"/>
                <w:szCs w:val="18"/>
              </w:rPr>
              <w:t>Capitaux temporaires</w:t>
            </w:r>
          </w:p>
        </w:tc>
      </w:tr>
      <w:tr w:rsidR="001F7C69" w:rsidRPr="003821B8" w14:paraId="65757019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49C8D873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39249B67" w14:textId="77777777" w:rsidR="001F7C69" w:rsidRPr="00CE1478" w:rsidRDefault="001F7C69" w:rsidP="001F7C69">
            <w:pPr>
              <w:jc w:val="left"/>
              <w:rPr>
                <w:rFonts w:ascii="Circular Std Medium" w:hAnsi="Circular Std Medium" w:cs="Circular Std Medium"/>
                <w:i/>
                <w:iCs/>
              </w:rPr>
            </w:pPr>
            <w:r w:rsidRPr="00CE1478">
              <w:rPr>
                <w:rFonts w:ascii="Circular Std Medium" w:hAnsi="Circular Std Medium" w:cs="Circular Std Medium"/>
                <w:i/>
                <w:iCs/>
              </w:rPr>
              <w:t>Personnes physiques ou morales qui doivent de l’argent à l’association</w:t>
            </w:r>
          </w:p>
        </w:tc>
        <w:tc>
          <w:tcPr>
            <w:tcW w:w="1187" w:type="dxa"/>
            <w:vAlign w:val="center"/>
          </w:tcPr>
          <w:p w14:paraId="4C6AA046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31937FD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029B1500" w14:textId="77777777" w:rsidR="001F7C69" w:rsidRPr="006E3236" w:rsidRDefault="001F7C69" w:rsidP="001F7C69">
            <w:pPr>
              <w:jc w:val="left"/>
              <w:rPr>
                <w:rFonts w:ascii="Circular Std Medium" w:hAnsi="Circular Std Medium" w:cs="Circular Std Medium"/>
                <w:i/>
                <w:iCs/>
              </w:rPr>
            </w:pPr>
            <w:r w:rsidRPr="006E3236">
              <w:rPr>
                <w:rFonts w:ascii="Circular Std Medium" w:hAnsi="Circular Std Medium" w:cs="Circular Std Medium"/>
                <w:i/>
                <w:iCs/>
              </w:rPr>
              <w:t>Personnes physiques ou morales à qui l’on doit de l’argent à court terme</w:t>
            </w:r>
          </w:p>
        </w:tc>
        <w:tc>
          <w:tcPr>
            <w:tcW w:w="1175" w:type="dxa"/>
            <w:vAlign w:val="center"/>
          </w:tcPr>
          <w:p w14:paraId="12814A97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05172F1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163C6E00" w14:textId="77777777" w:rsidTr="001F7C69">
        <w:trPr>
          <w:trHeight w:val="261"/>
        </w:trPr>
        <w:tc>
          <w:tcPr>
            <w:tcW w:w="945" w:type="dxa"/>
            <w:vAlign w:val="center"/>
          </w:tcPr>
          <w:p w14:paraId="655A4F83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54A94C06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87" w:type="dxa"/>
            <w:vAlign w:val="center"/>
          </w:tcPr>
          <w:p w14:paraId="7DD6708C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26A89A0E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2D2AD3D8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75" w:type="dxa"/>
            <w:vAlign w:val="center"/>
          </w:tcPr>
          <w:p w14:paraId="5F0DC741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2EA1F4E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73721BC9" w14:textId="77777777" w:rsidTr="001F7C69">
        <w:trPr>
          <w:trHeight w:val="364"/>
        </w:trPr>
        <w:tc>
          <w:tcPr>
            <w:tcW w:w="945" w:type="dxa"/>
            <w:shd w:val="clear" w:color="auto" w:fill="8DB3E2" w:themeFill="text2" w:themeFillTint="66"/>
            <w:vAlign w:val="center"/>
          </w:tcPr>
          <w:p w14:paraId="2754BF0F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5</w:t>
            </w:r>
          </w:p>
        </w:tc>
        <w:tc>
          <w:tcPr>
            <w:tcW w:w="5826" w:type="dxa"/>
            <w:shd w:val="clear" w:color="auto" w:fill="8DB3E2" w:themeFill="text2" w:themeFillTint="66"/>
            <w:vAlign w:val="center"/>
          </w:tcPr>
          <w:p w14:paraId="793259BE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Comptes financiers - Trésorerie</w:t>
            </w:r>
          </w:p>
        </w:tc>
        <w:tc>
          <w:tcPr>
            <w:tcW w:w="1187" w:type="dxa"/>
            <w:shd w:val="clear" w:color="auto" w:fill="8DB3E2" w:themeFill="text2" w:themeFillTint="66"/>
            <w:vAlign w:val="center"/>
          </w:tcPr>
          <w:p w14:paraId="1BA9D02D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5CA4157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1DD7EB71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Dettes financières (découverts bancaires, emprunts)</w:t>
            </w:r>
          </w:p>
        </w:tc>
        <w:tc>
          <w:tcPr>
            <w:tcW w:w="1175" w:type="dxa"/>
            <w:vAlign w:val="center"/>
          </w:tcPr>
          <w:p w14:paraId="7F7021E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0BD131D9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721ED1AB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7BA0D292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63BB2240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Disponibilités bancaires</w:t>
            </w:r>
          </w:p>
        </w:tc>
        <w:tc>
          <w:tcPr>
            <w:tcW w:w="1187" w:type="dxa"/>
            <w:vAlign w:val="center"/>
          </w:tcPr>
          <w:p w14:paraId="1D1DCACB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1AF9838C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7138555E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Dettes d’exploitation (fournisseurs)</w:t>
            </w:r>
          </w:p>
        </w:tc>
        <w:tc>
          <w:tcPr>
            <w:tcW w:w="1175" w:type="dxa"/>
            <w:vAlign w:val="center"/>
          </w:tcPr>
          <w:p w14:paraId="192FEA3E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5E39FFFF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1B852BD4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235E8CE0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7D4F3BAC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Comptes épargne</w:t>
            </w:r>
          </w:p>
        </w:tc>
        <w:tc>
          <w:tcPr>
            <w:tcW w:w="1187" w:type="dxa"/>
            <w:vAlign w:val="center"/>
          </w:tcPr>
          <w:p w14:paraId="63B12E91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1F545EE6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02C95874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Dettes diverses (sociales ou fiscales)</w:t>
            </w:r>
          </w:p>
        </w:tc>
        <w:tc>
          <w:tcPr>
            <w:tcW w:w="1175" w:type="dxa"/>
            <w:vAlign w:val="center"/>
          </w:tcPr>
          <w:p w14:paraId="015304C7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68EB0755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07364FD5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5EEF3696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1A0DF8C7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Caisse</w:t>
            </w:r>
          </w:p>
        </w:tc>
        <w:tc>
          <w:tcPr>
            <w:tcW w:w="1187" w:type="dxa"/>
            <w:vAlign w:val="center"/>
          </w:tcPr>
          <w:p w14:paraId="250DAD6E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18C32536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117750B4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75" w:type="dxa"/>
            <w:vAlign w:val="center"/>
          </w:tcPr>
          <w:p w14:paraId="295FB2D4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575C33A6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0620C4F1" w14:textId="77777777" w:rsidTr="001F7C69">
        <w:trPr>
          <w:trHeight w:val="420"/>
        </w:trPr>
        <w:tc>
          <w:tcPr>
            <w:tcW w:w="945" w:type="dxa"/>
            <w:vAlign w:val="center"/>
          </w:tcPr>
          <w:p w14:paraId="49A160C4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826" w:type="dxa"/>
            <w:vAlign w:val="center"/>
          </w:tcPr>
          <w:p w14:paraId="4F0A167E" w14:textId="77777777" w:rsidR="001F7C69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SICAV (valeur mobilière de placement)</w:t>
            </w:r>
          </w:p>
        </w:tc>
        <w:tc>
          <w:tcPr>
            <w:tcW w:w="1187" w:type="dxa"/>
            <w:vAlign w:val="center"/>
          </w:tcPr>
          <w:p w14:paraId="510DD11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945" w:type="dxa"/>
            <w:vAlign w:val="center"/>
          </w:tcPr>
          <w:p w14:paraId="1A1A453B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232" w:type="dxa"/>
            <w:vAlign w:val="center"/>
          </w:tcPr>
          <w:p w14:paraId="7CDEA9EB" w14:textId="77777777" w:rsidR="001F7C69" w:rsidRPr="003821B8" w:rsidRDefault="001F7C69" w:rsidP="001F7C69">
            <w:pPr>
              <w:jc w:val="left"/>
              <w:rPr>
                <w:rFonts w:ascii="Circular Std Medium" w:hAnsi="Circular Std Medium" w:cs="Circular Std Medium"/>
              </w:rPr>
            </w:pPr>
          </w:p>
        </w:tc>
        <w:tc>
          <w:tcPr>
            <w:tcW w:w="1175" w:type="dxa"/>
            <w:vAlign w:val="center"/>
          </w:tcPr>
          <w:p w14:paraId="05299323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26FE5572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  <w:tr w:rsidR="001F7C69" w:rsidRPr="003821B8" w14:paraId="410A4129" w14:textId="77777777" w:rsidTr="001F7C69">
        <w:trPr>
          <w:trHeight w:val="420"/>
        </w:trPr>
        <w:tc>
          <w:tcPr>
            <w:tcW w:w="6771" w:type="dxa"/>
            <w:gridSpan w:val="2"/>
            <w:shd w:val="clear" w:color="auto" w:fill="8DB3E2" w:themeFill="text2" w:themeFillTint="66"/>
            <w:vAlign w:val="center"/>
          </w:tcPr>
          <w:p w14:paraId="323012D1" w14:textId="77777777" w:rsidR="001F7C69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Total Actif Bilan</w:t>
            </w:r>
          </w:p>
        </w:tc>
        <w:tc>
          <w:tcPr>
            <w:tcW w:w="1187" w:type="dxa"/>
            <w:vAlign w:val="center"/>
          </w:tcPr>
          <w:p w14:paraId="794E976A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6177" w:type="dxa"/>
            <w:gridSpan w:val="2"/>
            <w:shd w:val="clear" w:color="auto" w:fill="8DB3E2" w:themeFill="text2" w:themeFillTint="66"/>
            <w:vAlign w:val="center"/>
          </w:tcPr>
          <w:p w14:paraId="5713C640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  <w:r>
              <w:rPr>
                <w:rFonts w:ascii="Circular Std Medium" w:hAnsi="Circular Std Medium" w:cs="Circular Std Medium"/>
              </w:rPr>
              <w:t>Total Passif Bilan</w:t>
            </w:r>
          </w:p>
        </w:tc>
        <w:tc>
          <w:tcPr>
            <w:tcW w:w="1175" w:type="dxa"/>
            <w:vAlign w:val="center"/>
          </w:tcPr>
          <w:p w14:paraId="2CA9721F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  <w:tc>
          <w:tcPr>
            <w:tcW w:w="571" w:type="dxa"/>
            <w:vMerge/>
            <w:vAlign w:val="center"/>
          </w:tcPr>
          <w:p w14:paraId="7B8BE62D" w14:textId="77777777" w:rsidR="001F7C69" w:rsidRPr="003821B8" w:rsidRDefault="001F7C69" w:rsidP="001F7C69">
            <w:pPr>
              <w:jc w:val="center"/>
              <w:rPr>
                <w:rFonts w:ascii="Circular Std Medium" w:hAnsi="Circular Std Medium" w:cs="Circular Std Medium"/>
              </w:rPr>
            </w:pPr>
          </w:p>
        </w:tc>
      </w:tr>
    </w:tbl>
    <w:p w14:paraId="2EC69A48" w14:textId="63ABBA7E" w:rsidR="002A156D" w:rsidRPr="00313491" w:rsidRDefault="003821B8" w:rsidP="001F7C69">
      <w:pPr>
        <w:spacing w:after="0"/>
        <w:jc w:val="center"/>
        <w:rPr>
          <w:rFonts w:ascii="Circular Std Medium" w:hAnsi="Circular Std Medium" w:cs="Circular Std Medium"/>
          <w:sz w:val="40"/>
          <w:szCs w:val="40"/>
        </w:rPr>
      </w:pPr>
      <w:r w:rsidRPr="003821B8">
        <w:rPr>
          <w:rFonts w:ascii="Circular Std Medium" w:hAnsi="Circular Std Medium" w:cs="Circular Std Medium"/>
          <w:sz w:val="40"/>
          <w:szCs w:val="40"/>
        </w:rPr>
        <w:t>Bilan financier</w:t>
      </w:r>
    </w:p>
    <w:sectPr w:rsidR="002A156D" w:rsidRPr="00313491" w:rsidSect="001F7C69">
      <w:headerReference w:type="default" r:id="rId6"/>
      <w:pgSz w:w="16840" w:h="11900"/>
      <w:pgMar w:top="340" w:right="567" w:bottom="170" w:left="567" w:header="51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3E59" w14:textId="77777777" w:rsidR="00B8232F" w:rsidRDefault="00B8232F" w:rsidP="001F7C69">
      <w:pPr>
        <w:spacing w:after="0" w:line="240" w:lineRule="auto"/>
      </w:pPr>
      <w:r>
        <w:separator/>
      </w:r>
    </w:p>
  </w:endnote>
  <w:endnote w:type="continuationSeparator" w:id="0">
    <w:p w14:paraId="056A36BC" w14:textId="77777777" w:rsidR="00B8232F" w:rsidRDefault="00B8232F" w:rsidP="001F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Medium">
    <w:panose1 w:val="020B06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DB893" w14:textId="77777777" w:rsidR="00B8232F" w:rsidRDefault="00B8232F" w:rsidP="001F7C69">
      <w:pPr>
        <w:spacing w:after="0" w:line="240" w:lineRule="auto"/>
      </w:pPr>
      <w:r>
        <w:separator/>
      </w:r>
    </w:p>
  </w:footnote>
  <w:footnote w:type="continuationSeparator" w:id="0">
    <w:p w14:paraId="3EE1D5BD" w14:textId="77777777" w:rsidR="00B8232F" w:rsidRDefault="00B8232F" w:rsidP="001F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4D53" w14:textId="6FAB4C65" w:rsidR="001F7C69" w:rsidRDefault="001F7C69" w:rsidP="001F7C69">
    <w:pPr>
      <w:pStyle w:val="NormalWeb"/>
      <w:spacing w:before="0" w:beforeAutospacing="0" w:after="0" w:afterAutospacing="0"/>
      <w:ind w:firstLine="284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CA8E71A" wp14:editId="6E368740">
          <wp:simplePos x="0" y="0"/>
          <wp:positionH relativeFrom="column">
            <wp:posOffset>2577465</wp:posOffset>
          </wp:positionH>
          <wp:positionV relativeFrom="paragraph">
            <wp:posOffset>-10957</wp:posOffset>
          </wp:positionV>
          <wp:extent cx="977900" cy="1809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</w:rPr>
      <w:t>Document simplifié mis à disposition par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6D"/>
    <w:rsid w:val="001F7C69"/>
    <w:rsid w:val="002A156D"/>
    <w:rsid w:val="00313491"/>
    <w:rsid w:val="003821B8"/>
    <w:rsid w:val="00395957"/>
    <w:rsid w:val="00414850"/>
    <w:rsid w:val="004C5AB2"/>
    <w:rsid w:val="006E3236"/>
    <w:rsid w:val="00A620DA"/>
    <w:rsid w:val="00B8232F"/>
    <w:rsid w:val="00CE1478"/>
    <w:rsid w:val="00CF5147"/>
    <w:rsid w:val="00D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5088"/>
  <w15:docId w15:val="{3FB589EB-72F4-496B-B1B0-A1E442DD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1F3863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0" w:line="360" w:lineRule="auto"/>
    </w:pPr>
    <w:rPr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38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C69"/>
  </w:style>
  <w:style w:type="paragraph" w:styleId="Pieddepage">
    <w:name w:val="footer"/>
    <w:basedOn w:val="Normal"/>
    <w:link w:val="PieddepageCar"/>
    <w:uiPriority w:val="99"/>
    <w:unhideWhenUsed/>
    <w:rsid w:val="001F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C69"/>
  </w:style>
  <w:style w:type="paragraph" w:styleId="NormalWeb">
    <w:name w:val="Normal (Web)"/>
    <w:basedOn w:val="Normal"/>
    <w:uiPriority w:val="99"/>
    <w:unhideWhenUsed/>
    <w:rsid w:val="001F7C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Mathilde Falchier</cp:lastModifiedBy>
  <cp:revision>8</cp:revision>
  <dcterms:created xsi:type="dcterms:W3CDTF">2020-11-04T20:13:00Z</dcterms:created>
  <dcterms:modified xsi:type="dcterms:W3CDTF">2020-11-17T13:44:00Z</dcterms:modified>
</cp:coreProperties>
</file>